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0">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1">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2"/>
          <w:footerReference w:type="even" r:id="rId13"/>
          <w:footerReference w:type="default" r:id="rId14"/>
          <w:footerReference w:type="first" r:id="rId15"/>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06"/>
        <w:gridCol w:w="5229"/>
        <w:gridCol w:w="234"/>
        <w:gridCol w:w="159"/>
        <w:gridCol w:w="412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CE89ABC" w:rsidR="00093CA9" w:rsidRDefault="001073BA" w:rsidP="00093CA9">
            <w:r w:rsidRPr="001073BA">
              <w:t>Nusantara Legal Partnership (NLP)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0FA7870" w:rsidR="00093CA9" w:rsidRPr="007C44F9" w:rsidRDefault="00931681" w:rsidP="009678D1">
            <w:pPr>
              <w:jc w:val="both"/>
            </w:pPr>
            <w:r w:rsidRPr="00931681">
              <w:t>Minist</w:t>
            </w:r>
            <w:r w:rsidR="007C44F9">
              <w:t>er</w:t>
            </w:r>
            <w:r w:rsidRPr="00931681">
              <w:t xml:space="preserve"> of Environment and Forestry Regulation No. 21 of 2022 regarding </w:t>
            </w:r>
            <w:r w:rsidR="007C44F9">
              <w:t xml:space="preserve">Procedures for the Application </w:t>
            </w:r>
            <w:r w:rsidRPr="00931681">
              <w:t>of Carbon Economic Value (</w:t>
            </w:r>
            <w:r w:rsidRPr="007C44F9">
              <w:rPr>
                <w:i/>
                <w:iCs/>
              </w:rPr>
              <w:t>Peraturan Menteri Lingkungan Hidup dan Kehutanan No. 21 Tahun 2022 tentang Tata Laksana Penerapan Nilai Ekonomi Karbon</w:t>
            </w:r>
            <w:r w:rsidRPr="00931681">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7BC7572" w:rsidR="0029175C" w:rsidRDefault="0029175C" w:rsidP="001A78C1">
            <w:pPr>
              <w:jc w:val="both"/>
            </w:pPr>
            <w:hyperlink r:id="rId16" w:history="1">
              <w:r w:rsidRPr="007A4817">
                <w:rPr>
                  <w:rStyle w:val="Hyperlink"/>
                </w:rPr>
                <w:t>https://web.archive.org/web/20250703044423/https://peraturan.bpk.go.id/Download/288901/Permen%20LHK%20Nomor%2021%20Tahun%202022.pdf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D77EC2C"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C157008" w:rsidR="00093CA9" w:rsidRDefault="00931681"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0DC82E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431184E" w:rsidR="00FE5CFD" w:rsidRDefault="00FF5C95" w:rsidP="00FF5C95">
            <w:pPr>
              <w:jc w:val="both"/>
            </w:pPr>
            <w:r>
              <w:t xml:space="preserve">The policy tool aims </w:t>
            </w:r>
            <w:r w:rsidRPr="00FF5C95">
              <w:t>to support the achievement of nationally determined contribution targets and control over</w:t>
            </w:r>
            <w:r>
              <w:t xml:space="preserve"> </w:t>
            </w:r>
            <w:r w:rsidRPr="00FF5C95">
              <w:t>greenhouse gas emissions at 29% (twenty-nine percent) up to 41% (forty-one</w:t>
            </w:r>
            <w:r>
              <w:t xml:space="preserve"> </w:t>
            </w:r>
            <w:r w:rsidRPr="00FF5C95">
              <w:t>percent) in 2030 in national</w:t>
            </w:r>
            <w:r>
              <w:t xml:space="preserve"> d</w:t>
            </w:r>
            <w:r w:rsidRPr="00FF5C95">
              <w:t>evelopment</w:t>
            </w:r>
            <w:r>
              <w:t>.</w:t>
            </w:r>
            <w:r w:rsidR="00FE5CFD">
              <w:t xml:space="preserve"> This policy tool </w:t>
            </w:r>
            <w:r w:rsidR="00FE5CFD" w:rsidRPr="00FE5CFD">
              <w:rPr>
                <w:lang w:val="en-US"/>
              </w:rPr>
              <w:t xml:space="preserve">regulates general provisions, procedures for implementing carbon trading, performance-based payments, carbon levies, other </w:t>
            </w:r>
            <w:r w:rsidR="00FE5CFD">
              <w:rPr>
                <w:lang w:val="en-US"/>
              </w:rPr>
              <w:t>Carbon Economic Value (</w:t>
            </w:r>
            <w:r w:rsidR="00FE5CFD">
              <w:rPr>
                <w:i/>
                <w:iCs/>
                <w:lang w:val="en-US"/>
              </w:rPr>
              <w:t xml:space="preserve">Nilai Ekonomi Karbon </w:t>
            </w:r>
            <w:r w:rsidR="00FE5CFD">
              <w:rPr>
                <w:lang w:val="en-US"/>
              </w:rPr>
              <w:t>or “</w:t>
            </w:r>
            <w:r w:rsidR="00FE5CFD" w:rsidRPr="00FE5CFD">
              <w:rPr>
                <w:b/>
                <w:bCs/>
                <w:lang w:val="en-US"/>
              </w:rPr>
              <w:t>NEK</w:t>
            </w:r>
            <w:r w:rsidR="00FE5CFD">
              <w:rPr>
                <w:lang w:val="en-US"/>
              </w:rPr>
              <w:t>”)</w:t>
            </w:r>
            <w:r w:rsidR="00FE5CFD" w:rsidRPr="00FE5CFD">
              <w:rPr>
                <w:lang w:val="en-US"/>
              </w:rPr>
              <w:t xml:space="preserve"> implementation mechanisms, measurement, reporting and verification of NEK implementation, implementation of </w:t>
            </w:r>
            <w:r w:rsidR="00FE5CFD">
              <w:rPr>
                <w:lang w:val="en-US"/>
              </w:rPr>
              <w:t>National Registry System for Climate Change Control (</w:t>
            </w:r>
            <w:r w:rsidR="00FE5CFD">
              <w:rPr>
                <w:i/>
                <w:iCs/>
                <w:lang w:val="en-US"/>
              </w:rPr>
              <w:t xml:space="preserve">Sistem Registri Nasional Pengendalian Perubahan Iklim </w:t>
            </w:r>
            <w:r w:rsidR="00FE5CFD">
              <w:rPr>
                <w:lang w:val="en-US"/>
              </w:rPr>
              <w:t>or “</w:t>
            </w:r>
            <w:r w:rsidR="00FE5CFD" w:rsidRPr="00FE5CFD">
              <w:rPr>
                <w:b/>
                <w:bCs/>
                <w:lang w:val="en-US"/>
              </w:rPr>
              <w:t>SRN PPI</w:t>
            </w:r>
            <w:r w:rsidR="00FE5CFD">
              <w:rPr>
                <w:lang w:val="en-US"/>
              </w:rPr>
              <w:t>”)</w:t>
            </w:r>
            <w:r w:rsidR="00FE5CFD" w:rsidRPr="00FE5CFD">
              <w:rPr>
                <w:lang w:val="en-US"/>
              </w:rPr>
              <w:t>, certification of greenhouse gas emission reductions, management of carbon trading funds, participation of parties, monitoring and evaluation, and closing provisions.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C7B9588" w:rsidR="00093CA9" w:rsidRDefault="00444C2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ADBB8C4" w:rsidR="00093CA9" w:rsidRPr="00173D7C" w:rsidRDefault="00444C24"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9EF8457" w:rsidR="00093CA9" w:rsidRPr="00173D7C" w:rsidRDefault="00444C24"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73AA9B7" w:rsidR="00093CA9" w:rsidRDefault="00444C24" w:rsidP="00444C24">
            <w:pPr>
              <w:jc w:val="both"/>
            </w:pPr>
            <w:r w:rsidRPr="00444C24">
              <w:t>Minister of Environment and Forestry</w:t>
            </w:r>
            <w:r>
              <w:t xml:space="preserve"> (“</w:t>
            </w:r>
            <w:r w:rsidRPr="00444C24">
              <w:rPr>
                <w:b/>
                <w:bCs/>
              </w:rPr>
              <w:t>MoEF</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5C6E3CF" w:rsidR="00093CA9" w:rsidRPr="006B7B0D" w:rsidRDefault="00444C24" w:rsidP="00444C24">
            <w:pPr>
              <w:jc w:val="both"/>
            </w:pPr>
            <w:r>
              <w:t>MoEF, including Director General of Climate Change Control</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901B7DB" w:rsidR="00093CA9" w:rsidRPr="006B7B0D" w:rsidRDefault="00444C24"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91DD7F3" w:rsidR="00093CA9" w:rsidRPr="0082203D" w:rsidRDefault="00444C24" w:rsidP="00444C24">
            <w:pPr>
              <w:jc w:val="both"/>
              <w:rPr>
                <w:lang w:val="en-US"/>
              </w:rPr>
            </w:pPr>
            <w:r>
              <w:t>Environmental Fund Management Agency (</w:t>
            </w:r>
            <w:r>
              <w:rPr>
                <w:i/>
                <w:iCs/>
              </w:rPr>
              <w:t xml:space="preserve">Badan Pengelola Dana Lingkungan Hidup </w:t>
            </w:r>
            <w:r>
              <w:t>or “</w:t>
            </w:r>
            <w:r>
              <w:rPr>
                <w:b/>
                <w:bCs/>
              </w:rPr>
              <w:t>BPDLH</w:t>
            </w:r>
            <w:r>
              <w:t>”), which is a non-echelon organizational unit that implements the function of managing environmental</w:t>
            </w:r>
            <w:r w:rsidR="0082203D">
              <w:t xml:space="preserve"> funds by using the pattern of financial management of public services bodies. </w:t>
            </w:r>
            <w:r w:rsidR="0082203D" w:rsidRPr="0082203D">
              <w:rPr>
                <w:lang w:val="en-US"/>
              </w:rPr>
              <w:t>BPLDH is under the Ministry of Finance and is accountable to the Minister of Finance through the Director General of Treasury.</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68126A3C" w:rsidR="00093CA9" w:rsidRPr="006B7B0D" w:rsidRDefault="00087766" w:rsidP="00093CA9">
            <w:r>
              <w:t>X</w:t>
            </w:r>
          </w:p>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D85EDE3" w:rsidR="00093CA9" w:rsidRPr="006B7B0D" w:rsidRDefault="004C0B31" w:rsidP="004C0B31">
            <w:pPr>
              <w:jc w:val="both"/>
            </w:pPr>
            <w:r>
              <w:t>Relevant Minister, which is the minister who constitutes the coordinator in Sectors or the person in charge of Sub-sectors in Procedures for the Application of NEK.</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16040ADD" w:rsidR="00093CA9" w:rsidRPr="006B7B0D" w:rsidRDefault="004C0B31"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395922">
            <w:pPr>
              <w:jc w:val="both"/>
            </w:pP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F981644" w:rsidR="00B3058D" w:rsidRPr="00B3058D" w:rsidRDefault="007060F1" w:rsidP="00B3058D">
            <w:pPr>
              <w:keepNext/>
              <w:jc w:val="both"/>
              <w:rPr>
                <w:color w:val="000000" w:themeColor="text1"/>
              </w:rPr>
            </w:pPr>
            <w:r>
              <w:rPr>
                <w:color w:val="000000" w:themeColor="text1"/>
                <w:lang w:val="en-US"/>
              </w:rPr>
              <w:t xml:space="preserve">There </w:t>
            </w:r>
            <w:r w:rsidR="003553FB">
              <w:rPr>
                <w:color w:val="000000" w:themeColor="text1"/>
                <w:lang w:val="en-US"/>
              </w:rPr>
              <w:t xml:space="preserve">are monitoring systems in place to oversee the implementation and/or enforcement of the policy tool, </w:t>
            </w:r>
            <w:r>
              <w:rPr>
                <w:color w:val="000000" w:themeColor="text1"/>
                <w:lang w:val="en-US"/>
              </w:rPr>
              <w:t xml:space="preserve">namely </w:t>
            </w:r>
            <w:r w:rsidRPr="007060F1">
              <w:rPr>
                <w:color w:val="000000" w:themeColor="text1"/>
              </w:rPr>
              <w:t>Procedures for the Application of NEK</w:t>
            </w:r>
            <w:r>
              <w:rPr>
                <w:color w:val="000000" w:themeColor="text1"/>
              </w:rPr>
              <w:t xml:space="preserve">, which are </w:t>
            </w:r>
            <w:r w:rsidRPr="007060F1">
              <w:rPr>
                <w:color w:val="000000" w:themeColor="text1"/>
              </w:rPr>
              <w:t>the overall system for the organization of NDC achievement</w:t>
            </w:r>
            <w:r>
              <w:rPr>
                <w:color w:val="000000" w:themeColor="text1"/>
              </w:rPr>
              <w:t xml:space="preserve"> </w:t>
            </w:r>
            <w:r w:rsidRPr="007060F1">
              <w:rPr>
                <w:color w:val="000000" w:themeColor="text1"/>
              </w:rPr>
              <w:t>activities which shall include NDC achievement activities conducted through NEK management,</w:t>
            </w:r>
            <w:r>
              <w:rPr>
                <w:color w:val="000000" w:themeColor="text1"/>
              </w:rPr>
              <w:t xml:space="preserve"> </w:t>
            </w:r>
            <w:r w:rsidRPr="007060F1">
              <w:rPr>
                <w:color w:val="000000" w:themeColor="text1"/>
              </w:rPr>
              <w:t>organization of the National Registry System for Climate Change Control, implementation of</w:t>
            </w:r>
            <w:r>
              <w:rPr>
                <w:color w:val="000000" w:themeColor="text1"/>
              </w:rPr>
              <w:t xml:space="preserve"> </w:t>
            </w:r>
            <w:r w:rsidRPr="007060F1">
              <w:rPr>
                <w:color w:val="000000" w:themeColor="text1"/>
              </w:rPr>
              <w:t>Measurement, Reporting, and Verification, issuance of Certificates of GRK Emissions Reduction, and</w:t>
            </w:r>
            <w:r>
              <w:rPr>
                <w:color w:val="000000" w:themeColor="text1"/>
              </w:rPr>
              <w:t xml:space="preserve"> </w:t>
            </w:r>
            <w:r w:rsidRPr="007060F1">
              <w:rPr>
                <w:color w:val="000000" w:themeColor="text1"/>
              </w:rPr>
              <w:t>monitoring, evaluation, and reporting</w:t>
            </w:r>
            <w:r w:rsidR="00B3058D">
              <w:rPr>
                <w:color w:val="000000" w:themeColor="text1"/>
              </w:rPr>
              <w:t xml:space="preserve"> (</w:t>
            </w:r>
            <w:r w:rsidR="00B3058D">
              <w:rPr>
                <w:i/>
                <w:iCs/>
                <w:color w:val="000000" w:themeColor="text1"/>
              </w:rPr>
              <w:t xml:space="preserve">Article 1 point 13 of </w:t>
            </w:r>
            <w:r w:rsidR="00DB01D4">
              <w:rPr>
                <w:i/>
                <w:iCs/>
                <w:color w:val="000000" w:themeColor="text1"/>
              </w:rPr>
              <w:t>Policy tool</w:t>
            </w:r>
            <w:r w:rsidR="00B3058D">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073B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073B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073B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662"/>
        <w:gridCol w:w="3928"/>
        <w:gridCol w:w="170"/>
        <w:gridCol w:w="553"/>
        <w:gridCol w:w="521"/>
        <w:gridCol w:w="867"/>
        <w:gridCol w:w="1849"/>
        <w:gridCol w:w="1911"/>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4ACB4A79" w:rsidR="00D4323A" w:rsidRPr="00CF2E7C" w:rsidRDefault="00803BFA"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3F4EC41" w:rsidR="00D4323A" w:rsidRPr="00CF2E7C" w:rsidRDefault="00803BFA"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6F72E7DC" w:rsidR="00D4323A" w:rsidRPr="00CF2E7C" w:rsidRDefault="008B54F1" w:rsidP="00CF2E7C">
            <w:pPr>
              <w:rPr>
                <w:rFonts w:ascii="Calibri" w:hAnsi="Calibri" w:cs="Calibri"/>
              </w:rPr>
            </w:pPr>
            <w:r>
              <w:rPr>
                <w:rFonts w:ascii="Calibri" w:hAnsi="Calibri" w:cs="Calibri"/>
              </w:rPr>
              <w:t>X</w:t>
            </w: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2635C5FB"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161873D3" w:rsidR="00D4323A" w:rsidRPr="00CF2E7C" w:rsidRDefault="00803BFA"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43202305" w:rsidR="00D4323A" w:rsidRPr="00CF2E7C" w:rsidRDefault="00803BFA"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00B8575" w:rsidR="00D4323A" w:rsidRPr="00CF2E7C" w:rsidRDefault="00827040" w:rsidP="00CF2E7C">
            <w:pPr>
              <w:rPr>
                <w:rFonts w:ascii="Calibri" w:hAnsi="Calibri" w:cs="Calibri"/>
              </w:rPr>
            </w:pPr>
            <w:r>
              <w:rPr>
                <w:rFonts w:ascii="Calibri" w:hAnsi="Calibri" w:cs="Calibri"/>
              </w:rPr>
              <w:t>X</w:t>
            </w: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680C49BF"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2EFBDC03"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0F34265A" w:rsidR="00D4323A" w:rsidRPr="00CF2E7C" w:rsidRDefault="00803BFA"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5EAFF434" w:rsidR="00D4323A" w:rsidRPr="00CF2E7C" w:rsidRDefault="00803BFA"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1F3860DC" w:rsidR="00D4323A" w:rsidRPr="00CF2E7C" w:rsidRDefault="00803BFA"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50E895F6" w:rsidR="00D4323A" w:rsidRPr="00CF2E7C" w:rsidRDefault="00803BFA"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05CDE77F" w:rsidR="00D4323A" w:rsidRPr="00CF2E7C" w:rsidRDefault="00803BFA"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4736A08B" w:rsidR="00D4323A" w:rsidRPr="00CF2E7C" w:rsidRDefault="00803BFA"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15B9D12F" w:rsidR="00D4323A" w:rsidRPr="00CF2E7C" w:rsidRDefault="00803BFA" w:rsidP="00CF2E7C">
            <w:pP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lastRenderedPageBreak/>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2BFF9129" w:rsidR="00803BFA" w:rsidRPr="00803BFA" w:rsidRDefault="008B54F1" w:rsidP="00803BFA">
            <w:pPr>
              <w:jc w:val="both"/>
              <w:rPr>
                <w:rFonts w:ascii="Calibri" w:hAnsi="Calibri" w:cs="Calibri"/>
                <w:lang w:val="en-US"/>
              </w:rPr>
            </w:pPr>
            <w:r w:rsidRPr="008B54F1">
              <w:rPr>
                <w:rFonts w:ascii="Calibri" w:hAnsi="Calibri" w:cs="Calibri"/>
                <w:b/>
                <w:bCs/>
                <w:u w:val="single"/>
                <w:lang w:val="en-US"/>
              </w:rPr>
              <w:t xml:space="preserve">The </w:t>
            </w:r>
            <w:r w:rsidR="003A33FF">
              <w:rPr>
                <w:rFonts w:ascii="Calibri" w:hAnsi="Calibri" w:cs="Calibri"/>
                <w:b/>
                <w:bCs/>
                <w:u w:val="single"/>
                <w:lang w:val="en-US"/>
              </w:rPr>
              <w:t>Public</w:t>
            </w:r>
            <w:r>
              <w:rPr>
                <w:rFonts w:ascii="Calibri" w:hAnsi="Calibri" w:cs="Calibri"/>
                <w:lang w:val="en-US"/>
              </w:rPr>
              <w:t xml:space="preserve">: </w:t>
            </w:r>
            <w:r w:rsidR="00803BFA" w:rsidRPr="00803BFA">
              <w:rPr>
                <w:rFonts w:ascii="Calibri" w:hAnsi="Calibri" w:cs="Calibri"/>
                <w:lang w:val="en-US"/>
              </w:rPr>
              <w:t xml:space="preserve">Based on Article 3 paragraph (1) of </w:t>
            </w:r>
            <w:r w:rsidR="00DB01D4">
              <w:rPr>
                <w:rFonts w:ascii="Calibri" w:hAnsi="Calibri" w:cs="Calibri"/>
                <w:lang w:val="en-US"/>
              </w:rPr>
              <w:t>Policy tool</w:t>
            </w:r>
            <w:r w:rsidR="00803BFA" w:rsidRPr="00803BFA">
              <w:rPr>
                <w:rFonts w:ascii="Calibri" w:hAnsi="Calibri" w:cs="Calibri"/>
                <w:lang w:val="en-US"/>
              </w:rPr>
              <w:t>, the implementation of NEK is not only carried out by ministries/</w:t>
            </w:r>
            <w:r w:rsidR="00803BFA">
              <w:rPr>
                <w:rFonts w:ascii="Calibri" w:hAnsi="Calibri" w:cs="Calibri"/>
                <w:lang w:val="en-US"/>
              </w:rPr>
              <w:t>agencies</w:t>
            </w:r>
            <w:r w:rsidR="00803BFA" w:rsidRPr="00803BFA">
              <w:rPr>
                <w:rFonts w:ascii="Calibri" w:hAnsi="Calibri" w:cs="Calibri"/>
                <w:lang w:val="en-US"/>
              </w:rPr>
              <w:t xml:space="preserve">, </w:t>
            </w:r>
            <w:r w:rsidR="00803BFA">
              <w:rPr>
                <w:rFonts w:ascii="Calibri" w:hAnsi="Calibri" w:cs="Calibri"/>
                <w:lang w:val="en-US"/>
              </w:rPr>
              <w:t>regional</w:t>
            </w:r>
            <w:r w:rsidR="00803BFA" w:rsidRPr="00803BFA">
              <w:rPr>
                <w:rFonts w:ascii="Calibri" w:hAnsi="Calibri" w:cs="Calibri"/>
                <w:lang w:val="en-US"/>
              </w:rPr>
              <w:t xml:space="preserve"> governments, and business actors, but the </w:t>
            </w:r>
            <w:r w:rsidR="003A33FF">
              <w:rPr>
                <w:rFonts w:ascii="Calibri" w:hAnsi="Calibri" w:cs="Calibri"/>
                <w:lang w:val="en-US"/>
              </w:rPr>
              <w:t>Public</w:t>
            </w:r>
            <w:r w:rsidR="00803BFA" w:rsidRPr="00803BFA">
              <w:rPr>
                <w:rFonts w:ascii="Calibri" w:hAnsi="Calibri" w:cs="Calibri"/>
                <w:lang w:val="en-US"/>
              </w:rPr>
              <w:t xml:space="preserve"> is also involved.</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4934BDF5" w:rsidR="00092534" w:rsidRPr="00CF2E7C" w:rsidRDefault="008B54F1" w:rsidP="00CF2E7C">
            <w:pPr>
              <w:rPr>
                <w:rFonts w:ascii="Calibri" w:hAnsi="Calibri" w:cs="Calibri"/>
              </w:rPr>
            </w:pPr>
            <w:r>
              <w:rPr>
                <w:rFonts w:ascii="Calibri" w:hAnsi="Calibri" w:cs="Calibri"/>
              </w:rPr>
              <w:t>X</w:t>
            </w: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23D8BA0B" w:rsidR="00092534" w:rsidRPr="00CF2E7C" w:rsidRDefault="008B54F1" w:rsidP="008B54F1">
            <w:pPr>
              <w:jc w:val="both"/>
              <w:rPr>
                <w:rFonts w:ascii="Calibri" w:hAnsi="Calibri" w:cs="Calibri"/>
              </w:rPr>
            </w:pPr>
            <w:r w:rsidRPr="008B54F1">
              <w:rPr>
                <w:rFonts w:ascii="Calibri" w:hAnsi="Calibri" w:cs="Calibri"/>
                <w:b/>
                <w:bCs/>
                <w:u w:val="single"/>
              </w:rPr>
              <w:t>Carbon Exchange</w:t>
            </w:r>
            <w:r>
              <w:rPr>
                <w:rFonts w:ascii="Calibri" w:hAnsi="Calibri" w:cs="Calibri"/>
              </w:rPr>
              <w:t xml:space="preserve">: </w:t>
            </w:r>
            <w:r w:rsidR="00867387">
              <w:rPr>
                <w:rFonts w:ascii="Calibri" w:hAnsi="Calibri" w:cs="Calibri"/>
              </w:rPr>
              <w:t>U</w:t>
            </w:r>
            <w:r>
              <w:rPr>
                <w:rFonts w:ascii="Calibri" w:hAnsi="Calibri" w:cs="Calibri"/>
              </w:rPr>
              <w:t xml:space="preserve">nder Article 27 paragraph (1) and (2) of </w:t>
            </w:r>
            <w:r w:rsidR="00DB01D4">
              <w:rPr>
                <w:rFonts w:ascii="Calibri" w:hAnsi="Calibri" w:cs="Calibri"/>
              </w:rPr>
              <w:t>Policy tool</w:t>
            </w:r>
            <w:r>
              <w:rPr>
                <w:rFonts w:ascii="Calibri" w:hAnsi="Calibri" w:cs="Calibri"/>
              </w:rPr>
              <w:t xml:space="preserve">, Carbon Trading through carbon exchanges shall be conducted through: (i) development of Carbon Trading infrastructure; (ii) regulation of the utilization of state revenue from Carbon Trading; and/or (iii) administration of carbon transactions. Carbon exchanges constitute </w:t>
            </w:r>
            <w:r w:rsidR="00867387">
              <w:rPr>
                <w:rFonts w:ascii="Calibri" w:hAnsi="Calibri" w:cs="Calibri"/>
              </w:rPr>
              <w:t xml:space="preserve">as </w:t>
            </w:r>
            <w:r>
              <w:rPr>
                <w:rFonts w:ascii="Calibri" w:hAnsi="Calibri" w:cs="Calibri"/>
              </w:rPr>
              <w:t>stock exchange</w:t>
            </w:r>
            <w:r w:rsidR="00867387">
              <w:rPr>
                <w:rFonts w:ascii="Calibri" w:hAnsi="Calibri" w:cs="Calibri"/>
              </w:rPr>
              <w:t>s</w:t>
            </w:r>
            <w:r>
              <w:rPr>
                <w:rFonts w:ascii="Calibri" w:hAnsi="Calibri" w:cs="Calibri"/>
              </w:rPr>
              <w:t xml:space="preserve"> or trading organizer</w:t>
            </w:r>
            <w:r w:rsidR="00867387">
              <w:rPr>
                <w:rFonts w:ascii="Calibri" w:hAnsi="Calibri" w:cs="Calibri"/>
              </w:rPr>
              <w:t>s</w:t>
            </w:r>
            <w:r>
              <w:rPr>
                <w:rFonts w:ascii="Calibri" w:hAnsi="Calibri" w:cs="Calibri"/>
              </w:rPr>
              <w:t xml:space="preserve"> that ha</w:t>
            </w:r>
            <w:r w:rsidR="00867387">
              <w:rPr>
                <w:rFonts w:ascii="Calibri" w:hAnsi="Calibri" w:cs="Calibri"/>
              </w:rPr>
              <w:t>ve</w:t>
            </w:r>
            <w:r>
              <w:rPr>
                <w:rFonts w:ascii="Calibri" w:hAnsi="Calibri" w:cs="Calibri"/>
              </w:rPr>
              <w:t xml:space="preserve"> secured a business license from the authority that organizes an integrated regulatory and supervisory system for all activities within the financial services sector regarding Carbon Trading and/or ownership records of Carbon Units.</w:t>
            </w: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5240988E" w:rsidR="00092534" w:rsidRPr="00CF2E7C" w:rsidRDefault="00B94810" w:rsidP="00CF2E7C">
            <w:pPr>
              <w:rPr>
                <w:rFonts w:ascii="Calibri" w:hAnsi="Calibri" w:cs="Calibri"/>
              </w:rPr>
            </w:pPr>
            <w:r>
              <w:rPr>
                <w:rFonts w:ascii="Calibri" w:hAnsi="Calibri" w:cs="Calibri"/>
              </w:rPr>
              <w:t>X</w:t>
            </w: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lastRenderedPageBreak/>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132969FD" w:rsidR="00092534" w:rsidRPr="00CF2E7C" w:rsidRDefault="00B94810" w:rsidP="00CF2E7C">
            <w:pPr>
              <w:rPr>
                <w:rFonts w:ascii="Calibri" w:hAnsi="Calibri" w:cs="Calibri"/>
              </w:rPr>
            </w:pPr>
            <w:r>
              <w:rPr>
                <w:rFonts w:ascii="Calibri" w:hAnsi="Calibri" w:cs="Calibri"/>
              </w:rPr>
              <w:t>X</w:t>
            </w: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5941FE83" w:rsidR="00092534" w:rsidRPr="00CF2E7C" w:rsidRDefault="004251E7"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53CDCDF1" w:rsidR="00092534" w:rsidRPr="00CF2E7C" w:rsidRDefault="004251E7"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1962750A" w:rsidR="00092534" w:rsidRPr="00CF2E7C" w:rsidRDefault="004251E7" w:rsidP="00CF2E7C">
            <w:pPr>
              <w:rPr>
                <w:rFonts w:ascii="Calibri" w:hAnsi="Calibri" w:cs="Calibri"/>
              </w:rPr>
            </w:pPr>
            <w:r>
              <w:rPr>
                <w:rFonts w:ascii="Calibri" w:hAnsi="Calibri" w:cs="Calibri"/>
              </w:rPr>
              <w:t>X</w:t>
            </w: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130B5FB" w:rsidR="00092534" w:rsidRPr="00CF2E7C" w:rsidRDefault="004251E7" w:rsidP="00CF2E7C">
            <w:pPr>
              <w:rPr>
                <w:rFonts w:ascii="Calibri" w:hAnsi="Calibri" w:cs="Calibri"/>
              </w:rPr>
            </w:pPr>
            <w:r>
              <w:rPr>
                <w:rFonts w:ascii="Calibri" w:hAnsi="Calibri" w:cs="Calibri"/>
              </w:rPr>
              <w:t>X</w:t>
            </w: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18DABD9F"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5BCEFA33" w:rsidR="00092534" w:rsidRPr="00CF2E7C" w:rsidRDefault="004251E7" w:rsidP="00CF2E7C">
            <w:pPr>
              <w:rPr>
                <w:rFonts w:ascii="Calibri" w:hAnsi="Calibri" w:cs="Calibri"/>
              </w:rPr>
            </w:pPr>
            <w:r>
              <w:rPr>
                <w:rFonts w:ascii="Calibri" w:hAnsi="Calibri" w:cs="Calibri"/>
              </w:rPr>
              <w:t>X</w:t>
            </w: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5DBBF2DD"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0E60EDAB"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378A6362"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3D6B4A6A" w:rsidR="00092534" w:rsidRPr="00CF2E7C" w:rsidRDefault="004251E7" w:rsidP="00CF2E7C">
            <w:pPr>
              <w:rPr>
                <w:rFonts w:ascii="Calibri" w:hAnsi="Calibri" w:cs="Calibri"/>
              </w:rPr>
            </w:pPr>
            <w:r>
              <w:rPr>
                <w:rFonts w:ascii="Calibri" w:hAnsi="Calibri" w:cs="Calibri"/>
              </w:rPr>
              <w:t>X</w:t>
            </w: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53136B29"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2B02E574"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292959A6"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32610C39"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501EB528"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4518A030"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lastRenderedPageBreak/>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5CC6376A"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3B48BF84"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0E7F4E8"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430AF0B3" w:rsidR="00EA6EB0" w:rsidRPr="004251E7" w:rsidRDefault="004251E7" w:rsidP="00EA6EB0">
            <w:pPr>
              <w:jc w:val="both"/>
              <w:rPr>
                <w:rFonts w:ascii="Calibri" w:hAnsi="Calibri" w:cs="Calibri"/>
                <w:lang w:val="en-US"/>
              </w:rPr>
            </w:pPr>
            <w:r w:rsidRPr="004251E7">
              <w:rPr>
                <w:rFonts w:ascii="Calibri" w:hAnsi="Calibri" w:cs="Calibri"/>
                <w:lang w:val="en-US"/>
              </w:rPr>
              <w:t>The selection of targeted entities above is based on entities operating in sectors and/or subsectors whose activities/sub-activities are related to Greenhouse Gas (“</w:t>
            </w:r>
            <w:r w:rsidRPr="004251E7">
              <w:rPr>
                <w:rFonts w:ascii="Calibri" w:hAnsi="Calibri" w:cs="Calibri"/>
                <w:b/>
                <w:bCs/>
                <w:lang w:val="en-US"/>
              </w:rPr>
              <w:t>GHG</w:t>
            </w:r>
            <w:r w:rsidRPr="004251E7">
              <w:rPr>
                <w:rFonts w:ascii="Calibri" w:hAnsi="Calibri" w:cs="Calibri"/>
                <w:lang w:val="en-US"/>
              </w:rPr>
              <w:t xml:space="preserve">”) Emissions as stipulated in Article 2 paragraphs (3) and (4) of </w:t>
            </w:r>
            <w:r w:rsidR="00DB01D4">
              <w:rPr>
                <w:rFonts w:ascii="Calibri" w:hAnsi="Calibri" w:cs="Calibri"/>
                <w:lang w:val="en-US"/>
              </w:rPr>
              <w:t>Policy tool</w:t>
            </w:r>
            <w:r w:rsidRPr="004251E7">
              <w:rPr>
                <w:rFonts w:ascii="Calibri" w:hAnsi="Calibri" w:cs="Calibri"/>
                <w:lang w:val="en-US"/>
              </w:rPr>
              <w:t>, including</w:t>
            </w:r>
            <w:r>
              <w:rPr>
                <w:rFonts w:ascii="Calibri" w:hAnsi="Calibri" w:cs="Calibri"/>
                <w:lang w:val="en-US"/>
              </w:rPr>
              <w:t xml:space="preserve"> energy, waste, industrial process and product use, agriculture, forestry, power plant, transportation</w:t>
            </w:r>
            <w:r w:rsidR="00EA6EB0">
              <w:rPr>
                <w:rFonts w:ascii="Calibri" w:hAnsi="Calibri" w:cs="Calibri"/>
                <w:lang w:val="en-US"/>
              </w:rPr>
              <w:t>, building, solid waste, liquid waste, garbage, industry, rice field, animal husbandry, plantation, forestry, as well as peat and mangrove management.</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20717605"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073B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lastRenderedPageBreak/>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48E96BB4"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65CEC85C" w:rsidR="00092534" w:rsidRPr="00CF2E7C" w:rsidRDefault="00BC0693"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5E6D4769" w:rsidR="00DB1E72" w:rsidRPr="00CF2E7C" w:rsidRDefault="009D1965"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21596DF3" w:rsidR="00092534" w:rsidRPr="00CF2E7C" w:rsidRDefault="009D1965"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8845A2C" w14:textId="77777777" w:rsidR="00092534" w:rsidRDefault="009D1965" w:rsidP="006B7AC8">
            <w:pPr>
              <w:jc w:val="both"/>
              <w:rPr>
                <w:rFonts w:ascii="Calibri" w:hAnsi="Calibri" w:cs="Calibri"/>
              </w:rPr>
            </w:pPr>
            <w:r>
              <w:rPr>
                <w:rFonts w:ascii="Calibri" w:hAnsi="Calibri" w:cs="Calibri"/>
              </w:rPr>
              <w:t>There are several follow up regulations from this policy tool, namely:</w:t>
            </w:r>
          </w:p>
          <w:p w14:paraId="180C830F" w14:textId="77777777" w:rsidR="009D1965" w:rsidRDefault="006B7AC8" w:rsidP="006B7AC8">
            <w:pPr>
              <w:pStyle w:val="ListParagraph"/>
              <w:numPr>
                <w:ilvl w:val="0"/>
                <w:numId w:val="49"/>
              </w:numPr>
              <w:jc w:val="both"/>
              <w:rPr>
                <w:rFonts w:ascii="Calibri" w:hAnsi="Calibri" w:cs="Calibri"/>
              </w:rPr>
            </w:pPr>
            <w:r>
              <w:rPr>
                <w:rFonts w:ascii="Calibri" w:hAnsi="Calibri" w:cs="Calibri"/>
              </w:rPr>
              <w:t>Minister of Marine Affairs and Fisheries No. 1 of 2025 regarding Procedures for the Organization of Carbon Economic Value in the Marine Affairs Sector (“</w:t>
            </w:r>
            <w:r>
              <w:rPr>
                <w:rFonts w:ascii="Calibri" w:hAnsi="Calibri" w:cs="Calibri"/>
                <w:b/>
                <w:bCs/>
              </w:rPr>
              <w:t>MoMAF Reg. 1/2025</w:t>
            </w:r>
            <w:r>
              <w:rPr>
                <w:rFonts w:ascii="Calibri" w:hAnsi="Calibri" w:cs="Calibri"/>
              </w:rPr>
              <w:t>”):</w:t>
            </w:r>
          </w:p>
          <w:p w14:paraId="739BF4F5" w14:textId="54DBA225" w:rsidR="006B7AC8" w:rsidRDefault="006B7AC8" w:rsidP="006B7AC8">
            <w:pPr>
              <w:pStyle w:val="ListParagraph"/>
              <w:jc w:val="both"/>
              <w:rPr>
                <w:rFonts w:ascii="Calibri" w:hAnsi="Calibri" w:cs="Calibri"/>
                <w:lang w:val="en-US"/>
              </w:rPr>
            </w:pPr>
            <w:r w:rsidRPr="006B7AC8">
              <w:rPr>
                <w:rFonts w:ascii="Calibri" w:hAnsi="Calibri" w:cs="Calibri"/>
                <w:lang w:val="en-US"/>
              </w:rPr>
              <w:t xml:space="preserve">The purpose of issuing MoMAF Reg. 1/2025 is to support the implementation of NEK for the achievement of nationally set contribution targets and GHG </w:t>
            </w:r>
            <w:r>
              <w:rPr>
                <w:rFonts w:ascii="Calibri" w:hAnsi="Calibri" w:cs="Calibri"/>
                <w:lang w:val="en-US"/>
              </w:rPr>
              <w:t>E</w:t>
            </w:r>
            <w:r w:rsidRPr="006B7AC8">
              <w:rPr>
                <w:rFonts w:ascii="Calibri" w:hAnsi="Calibri" w:cs="Calibri"/>
                <w:lang w:val="en-US"/>
              </w:rPr>
              <w:t>mission control in national development, as well as procedures for carbon trading and performance-based payments in the marine sector.</w:t>
            </w:r>
          </w:p>
          <w:p w14:paraId="5293CA86" w14:textId="22110277" w:rsidR="006B7AC8" w:rsidRDefault="006B7AC8" w:rsidP="006B7AC8">
            <w:pPr>
              <w:pStyle w:val="ListParagraph"/>
              <w:jc w:val="both"/>
              <w:rPr>
                <w:rFonts w:ascii="Calibri" w:hAnsi="Calibri" w:cs="Calibri"/>
                <w:lang w:val="en-US"/>
              </w:rPr>
            </w:pPr>
            <w:r>
              <w:rPr>
                <w:rFonts w:ascii="Calibri" w:hAnsi="Calibri" w:cs="Calibri"/>
                <w:b/>
                <w:bCs/>
                <w:u w:val="single"/>
                <w:lang w:val="en-US"/>
              </w:rPr>
              <w:t>Source</w:t>
            </w:r>
            <w:r>
              <w:rPr>
                <w:rFonts w:ascii="Calibri" w:hAnsi="Calibri" w:cs="Calibri"/>
                <w:lang w:val="en-US"/>
              </w:rPr>
              <w:t xml:space="preserve">: </w:t>
            </w:r>
          </w:p>
          <w:p w14:paraId="7EC5F7A7" w14:textId="061D0337" w:rsidR="00641B14" w:rsidRPr="006B7AC8" w:rsidRDefault="00641B14" w:rsidP="006B7AC8">
            <w:pPr>
              <w:pStyle w:val="ListParagraph"/>
              <w:jc w:val="both"/>
              <w:rPr>
                <w:rFonts w:ascii="Calibri" w:hAnsi="Calibri" w:cs="Calibri"/>
                <w:lang w:val="en-US"/>
              </w:rPr>
            </w:pPr>
            <w:hyperlink r:id="rId17" w:history="1">
              <w:r w:rsidRPr="007A4817">
                <w:rPr>
                  <w:rStyle w:val="Hyperlink"/>
                  <w:rFonts w:ascii="Calibri" w:hAnsi="Calibri" w:cs="Calibri"/>
                  <w:lang w:val="en-US"/>
                </w:rPr>
                <w:t>https://web.archive.org/web/20250703044701/https://peraturan.bpk.go.id/Download/375389/2025permenkp001.pdf</w:t>
              </w:r>
            </w:hyperlink>
            <w:r>
              <w:rPr>
                <w:rFonts w:ascii="Calibri" w:hAnsi="Calibri" w:cs="Calibri"/>
                <w:lang w:val="en-US"/>
              </w:rPr>
              <w:t xml:space="preserve"> </w:t>
            </w:r>
          </w:p>
          <w:p w14:paraId="2B1BBDF9" w14:textId="49B1AD61" w:rsidR="006A1ACF" w:rsidRDefault="006A1ACF" w:rsidP="00E17EE6">
            <w:pPr>
              <w:pStyle w:val="ListParagraph"/>
              <w:numPr>
                <w:ilvl w:val="0"/>
                <w:numId w:val="49"/>
              </w:numPr>
              <w:jc w:val="both"/>
              <w:rPr>
                <w:rFonts w:ascii="Calibri" w:hAnsi="Calibri" w:cs="Calibri"/>
              </w:rPr>
            </w:pPr>
            <w:r w:rsidRPr="006A1ACF">
              <w:rPr>
                <w:rFonts w:ascii="Calibri" w:hAnsi="Calibri" w:cs="Calibri"/>
              </w:rPr>
              <w:t xml:space="preserve">Minister of Environment and Forestry </w:t>
            </w:r>
            <w:r>
              <w:rPr>
                <w:rFonts w:ascii="Calibri" w:hAnsi="Calibri" w:cs="Calibri"/>
              </w:rPr>
              <w:t xml:space="preserve">Decree </w:t>
            </w:r>
            <w:r w:rsidR="00E17EE6">
              <w:rPr>
                <w:rFonts w:ascii="Calibri" w:hAnsi="Calibri" w:cs="Calibri"/>
              </w:rPr>
              <w:t xml:space="preserve">No. </w:t>
            </w:r>
            <w:r w:rsidRPr="006A1ACF">
              <w:rPr>
                <w:rFonts w:ascii="Calibri" w:hAnsi="Calibri" w:cs="Calibri"/>
              </w:rPr>
              <w:t>SK.1027/MENLHK/PHL/KUM.1/9/2023 of 2023 regarding the Roadmap for Carbon Trading in the Forestry Sector</w:t>
            </w:r>
            <w:r>
              <w:rPr>
                <w:rFonts w:ascii="Calibri" w:hAnsi="Calibri" w:cs="Calibri"/>
              </w:rPr>
              <w:t xml:space="preserve"> (“</w:t>
            </w:r>
            <w:r>
              <w:rPr>
                <w:rFonts w:ascii="Calibri" w:hAnsi="Calibri" w:cs="Calibri"/>
                <w:b/>
                <w:bCs/>
              </w:rPr>
              <w:t>MoEF Decree 1027/1/9/2023</w:t>
            </w:r>
            <w:r>
              <w:rPr>
                <w:rFonts w:ascii="Calibri" w:hAnsi="Calibri" w:cs="Calibri"/>
              </w:rPr>
              <w:t>”):</w:t>
            </w:r>
          </w:p>
          <w:p w14:paraId="3E84A685" w14:textId="7A8AAAA8" w:rsidR="006A1ACF" w:rsidRPr="00E17EE6" w:rsidRDefault="006A1ACF" w:rsidP="00E17EE6">
            <w:pPr>
              <w:pStyle w:val="ListParagraph"/>
              <w:jc w:val="both"/>
              <w:rPr>
                <w:rFonts w:ascii="Calibri" w:hAnsi="Calibri" w:cs="Calibri"/>
                <w:lang w:val="en-US"/>
              </w:rPr>
            </w:pPr>
            <w:r>
              <w:rPr>
                <w:rFonts w:ascii="Calibri" w:hAnsi="Calibri" w:cs="Calibri"/>
              </w:rPr>
              <w:t xml:space="preserve">The purposes of issuing </w:t>
            </w:r>
            <w:r w:rsidRPr="006A1ACF">
              <w:rPr>
                <w:rFonts w:ascii="Calibri" w:hAnsi="Calibri" w:cs="Calibri"/>
              </w:rPr>
              <w:t>MoEF Decree 1027/1/9/2023</w:t>
            </w:r>
            <w:r>
              <w:rPr>
                <w:rFonts w:ascii="Calibri" w:hAnsi="Calibri" w:cs="Calibri"/>
              </w:rPr>
              <w:t xml:space="preserve"> is </w:t>
            </w:r>
            <w:r w:rsidR="00E17EE6" w:rsidRPr="00E17EE6">
              <w:rPr>
                <w:rFonts w:ascii="Calibri" w:hAnsi="Calibri" w:cs="Calibri"/>
                <w:lang w:val="en-US"/>
              </w:rPr>
              <w:t>to implement Carbon Trading both domestically and internationally, prioritizing the use of GHG Emissions Reduction Certificates (“</w:t>
            </w:r>
            <w:r w:rsidR="00E17EE6" w:rsidRPr="001D4215">
              <w:rPr>
                <w:rFonts w:ascii="Calibri" w:hAnsi="Calibri" w:cs="Calibri"/>
                <w:b/>
                <w:bCs/>
                <w:lang w:val="en-US"/>
              </w:rPr>
              <w:t>SPE-GRK</w:t>
            </w:r>
            <w:r w:rsidR="00E17EE6" w:rsidRPr="00E17EE6">
              <w:rPr>
                <w:rFonts w:ascii="Calibri" w:hAnsi="Calibri" w:cs="Calibri"/>
                <w:lang w:val="en-US"/>
              </w:rPr>
              <w:t>”) generated through the national emissions reduction certification mechanism, and following up on the Guidelines for the Preparation of Mitigation Action Plan Documents.</w:t>
            </w:r>
          </w:p>
          <w:p w14:paraId="65D8D008" w14:textId="77777777" w:rsidR="00E17EE6" w:rsidRDefault="006A1ACF" w:rsidP="00E17EE6">
            <w:pPr>
              <w:pStyle w:val="ListParagraph"/>
            </w:pPr>
            <w:r>
              <w:rPr>
                <w:rFonts w:ascii="Calibri" w:hAnsi="Calibri" w:cs="Calibri"/>
                <w:b/>
                <w:bCs/>
                <w:u w:val="single"/>
              </w:rPr>
              <w:t>Source</w:t>
            </w:r>
            <w:r>
              <w:rPr>
                <w:rFonts w:ascii="Calibri" w:hAnsi="Calibri" w:cs="Calibri"/>
              </w:rPr>
              <w:t xml:space="preserve">: </w:t>
            </w:r>
          </w:p>
          <w:p w14:paraId="4E9BC062" w14:textId="0940C131" w:rsidR="00955158" w:rsidRPr="00E17EE6" w:rsidRDefault="00955158" w:rsidP="00E17EE6">
            <w:pPr>
              <w:pStyle w:val="ListParagraph"/>
              <w:rPr>
                <w:rFonts w:ascii="Calibri" w:hAnsi="Calibri" w:cs="Calibri"/>
              </w:rPr>
            </w:pPr>
            <w:hyperlink r:id="rId18" w:history="1">
              <w:r w:rsidRPr="007A4817">
                <w:rPr>
                  <w:rStyle w:val="Hyperlink"/>
                  <w:rFonts w:ascii="Calibri" w:hAnsi="Calibri" w:cs="Calibri"/>
                </w:rPr>
                <w:t>https://web.archive.org/web/20250703045216/https://phl.menlhk.go.id/media/publikasi/publikasi_file_1705303320.pdf</w:t>
              </w:r>
            </w:hyperlink>
            <w:r>
              <w:rPr>
                <w:rFonts w:ascii="Calibri" w:hAnsi="Calibri" w:cs="Calibri"/>
              </w:rPr>
              <w:t xml:space="preserve"> </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lastRenderedPageBreak/>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13BA6B83" w:rsidR="00092534" w:rsidRPr="00CF2E7C" w:rsidRDefault="00393915"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6C3387C2" w:rsidR="00D46B07" w:rsidRPr="00CF2E7C" w:rsidRDefault="00836F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20D9328A" w:rsidR="00D46B07" w:rsidRPr="00CF2E7C" w:rsidRDefault="0059127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4774A53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91277">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155066D3"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2465CF">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48856D6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2465CF">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02D85823" w:rsidR="00D46B07" w:rsidRPr="00CF2E7C" w:rsidRDefault="002465C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E86337">
            <w:pPr>
              <w:jc w:val="both"/>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BCE3AA9" w14:textId="7443C9E9" w:rsidR="000334B6" w:rsidRDefault="002465CF" w:rsidP="00E86337">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In this policy tool, the organization of NEK shall be conducted through the following mechanisms (</w:t>
            </w:r>
            <w:r w:rsidRPr="004251E7">
              <w:rPr>
                <w:rFonts w:ascii="Calibri" w:eastAsia="Times New Roman" w:hAnsi="Calibri" w:cs="Calibri"/>
                <w:i/>
                <w:iCs/>
                <w:kern w:val="0"/>
                <w:lang w:val="en-US" w:eastAsia="en-GB"/>
                <w14:ligatures w14:val="none"/>
              </w:rPr>
              <w:t xml:space="preserve">Article </w:t>
            </w:r>
            <w:r w:rsidRPr="002465CF">
              <w:rPr>
                <w:rFonts w:ascii="Calibri" w:eastAsia="Times New Roman" w:hAnsi="Calibri" w:cs="Calibri"/>
                <w:i/>
                <w:iCs/>
                <w:kern w:val="0"/>
                <w:lang w:val="en-US" w:eastAsia="en-GB"/>
                <w14:ligatures w14:val="none"/>
              </w:rPr>
              <w:t>3</w:t>
            </w:r>
            <w:r w:rsidRPr="004251E7">
              <w:rPr>
                <w:rFonts w:ascii="Calibri" w:eastAsia="Times New Roman" w:hAnsi="Calibri" w:cs="Calibri"/>
                <w:i/>
                <w:iCs/>
                <w:kern w:val="0"/>
                <w:lang w:val="en-US" w:eastAsia="en-GB"/>
                <w14:ligatures w14:val="none"/>
              </w:rPr>
              <w:t xml:space="preserve"> paragraphs (</w:t>
            </w:r>
            <w:r w:rsidRPr="002465CF">
              <w:rPr>
                <w:rFonts w:ascii="Calibri" w:eastAsia="Times New Roman" w:hAnsi="Calibri" w:cs="Calibri"/>
                <w:i/>
                <w:iCs/>
                <w:kern w:val="0"/>
                <w:lang w:val="en-US" w:eastAsia="en-GB"/>
                <w14:ligatures w14:val="none"/>
              </w:rPr>
              <w:t>2)</w:t>
            </w:r>
            <w:r w:rsidRPr="004251E7">
              <w:rPr>
                <w:rFonts w:ascii="Calibri" w:eastAsia="Times New Roman" w:hAnsi="Calibri" w:cs="Calibri"/>
                <w:i/>
                <w:iCs/>
                <w:kern w:val="0"/>
                <w:lang w:val="en-US" w:eastAsia="en-GB"/>
                <w14:ligatures w14:val="none"/>
              </w:rPr>
              <w:t xml:space="preserve">of </w:t>
            </w:r>
            <w:r w:rsidR="00DB01D4">
              <w:rPr>
                <w:rFonts w:ascii="Calibri" w:eastAsia="Times New Roman" w:hAnsi="Calibri" w:cs="Calibri"/>
                <w:i/>
                <w:iCs/>
                <w:kern w:val="0"/>
                <w:lang w:val="en-US" w:eastAsia="en-GB"/>
                <w14:ligatures w14:val="none"/>
              </w:rPr>
              <w:t>Policy tool</w:t>
            </w:r>
            <w:r>
              <w:rPr>
                <w:rFonts w:ascii="Calibri" w:eastAsia="Times New Roman" w:hAnsi="Calibri" w:cs="Calibri"/>
                <w:kern w:val="0"/>
                <w:lang w:val="en-US" w:eastAsia="en-GB"/>
                <w14:ligatures w14:val="none"/>
              </w:rPr>
              <w:t>)</w:t>
            </w:r>
            <w:r>
              <w:rPr>
                <w:rFonts w:ascii="Calibri" w:eastAsia="Times New Roman" w:hAnsi="Calibri" w:cs="Calibri"/>
                <w:kern w:val="0"/>
                <w:lang w:eastAsia="en-GB"/>
                <w14:ligatures w14:val="none"/>
              </w:rPr>
              <w:t>:</w:t>
            </w:r>
          </w:p>
          <w:p w14:paraId="1F98FA65" w14:textId="1122768D" w:rsidR="002465CF" w:rsidRDefault="002465CF" w:rsidP="00E86337">
            <w:pPr>
              <w:pStyle w:val="ListParagraph"/>
              <w:numPr>
                <w:ilvl w:val="0"/>
                <w:numId w:val="50"/>
              </w:num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Carbon Trading: a market-based mechanism for reducing GHG Emissions through the purchase and sale of Carbon Units.</w:t>
            </w:r>
          </w:p>
          <w:p w14:paraId="24B24688" w14:textId="74292EE9" w:rsidR="002465CF" w:rsidRDefault="002465CF" w:rsidP="00E86337">
            <w:pPr>
              <w:pStyle w:val="ListParagraph"/>
              <w:numPr>
                <w:ilvl w:val="0"/>
                <w:numId w:val="50"/>
              </w:num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Result-Based Payments: incentives or payments obtained from the achievement results of GHG Emissions reduction that has been verified and/or certified and non-carbon benefits that have been validated.</w:t>
            </w:r>
          </w:p>
          <w:p w14:paraId="33497E6F" w14:textId="2D36B0FE" w:rsidR="002465CF" w:rsidRDefault="002465CF" w:rsidP="00E86337">
            <w:pPr>
              <w:pStyle w:val="ListParagraph"/>
              <w:numPr>
                <w:ilvl w:val="0"/>
                <w:numId w:val="50"/>
              </w:num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Carbon Levy: a state levy, both central and regional, which is imposed on goods and/or services that have the potential and/or content of carbon and/or businesses and/or </w:t>
            </w:r>
            <w:r>
              <w:rPr>
                <w:rFonts w:ascii="Calibri" w:eastAsia="Times New Roman" w:hAnsi="Calibri" w:cs="Calibri"/>
                <w:kern w:val="0"/>
                <w:lang w:eastAsia="en-GB"/>
                <w14:ligatures w14:val="none"/>
              </w:rPr>
              <w:lastRenderedPageBreak/>
              <w:t>activities that have the potential of carbon emissions and/or those emitting carbon that can cause negative impacts on the environment and/or the performance of Climate Change Mitigation Actions.</w:t>
            </w:r>
          </w:p>
          <w:p w14:paraId="3A6E7E46" w14:textId="61F2608B" w:rsidR="002465CF" w:rsidRPr="002465CF" w:rsidRDefault="002465CF" w:rsidP="00E86337">
            <w:pPr>
              <w:pStyle w:val="ListParagraph"/>
              <w:numPr>
                <w:ilvl w:val="0"/>
                <w:numId w:val="50"/>
              </w:num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Other mechanism in accordance with the development of science and technology</w:t>
            </w:r>
            <w:r w:rsidR="00E86337">
              <w:rPr>
                <w:rFonts w:ascii="Calibri" w:eastAsia="Times New Roman" w:hAnsi="Calibri" w:cs="Calibri"/>
                <w:kern w:val="0"/>
                <w:lang w:eastAsia="en-GB"/>
                <w14:ligatures w14:val="none"/>
              </w:rPr>
              <w:t xml:space="preserve">: as stipulated in Article 37 of </w:t>
            </w:r>
            <w:r w:rsidR="00DB01D4">
              <w:rPr>
                <w:rFonts w:ascii="Calibri" w:eastAsia="Times New Roman" w:hAnsi="Calibri" w:cs="Calibri"/>
                <w:kern w:val="0"/>
                <w:lang w:eastAsia="en-GB"/>
                <w14:ligatures w14:val="none"/>
              </w:rPr>
              <w:t>Policy tool</w:t>
            </w:r>
            <w:r w:rsidR="00E86337">
              <w:rPr>
                <w:rFonts w:ascii="Calibri" w:eastAsia="Times New Roman" w:hAnsi="Calibri" w:cs="Calibri"/>
                <w:kern w:val="0"/>
                <w:lang w:eastAsia="en-GB"/>
                <w14:ligatures w14:val="none"/>
              </w:rPr>
              <w:t>, the MoEF shall stipulate other mechanisms for the organization of NEK in accordance with the development of science and technology, which in stipulating the other mechanisms the MoEF shall coordinate with the Relevant Minister.</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2E30C8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931AB">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1CC9A2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931AB">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E6BB0A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931AB">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04652B0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931AB">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383040C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931AB">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A7FAD4" w14:textId="6A57F3A3" w:rsidR="007931AB" w:rsidRDefault="007931AB" w:rsidP="007931AB">
            <w:pPr>
              <w:jc w:val="both"/>
              <w:textAlignment w:val="baseline"/>
              <w:rPr>
                <w:rFonts w:ascii="Calibri" w:eastAsia="Times New Roman" w:hAnsi="Calibri" w:cs="Calibri"/>
                <w:kern w:val="0"/>
                <w:lang w:eastAsia="en-GB"/>
                <w14:ligatures w14:val="none"/>
              </w:rPr>
            </w:pPr>
            <w:r w:rsidRPr="007931AB">
              <w:rPr>
                <w:rFonts w:ascii="Calibri" w:eastAsia="Times New Roman" w:hAnsi="Calibri" w:cs="Calibri"/>
                <w:kern w:val="0"/>
                <w:lang w:eastAsia="en-GB"/>
                <w14:ligatures w14:val="none"/>
              </w:rPr>
              <w:t xml:space="preserve">There are several provisions related to the use of the registry in this policy tool, </w:t>
            </w:r>
            <w:r w:rsidR="00CC2F6A">
              <w:rPr>
                <w:rFonts w:ascii="Calibri" w:eastAsia="Times New Roman" w:hAnsi="Calibri" w:cs="Calibri"/>
                <w:kern w:val="0"/>
                <w:lang w:eastAsia="en-GB"/>
                <w14:ligatures w14:val="none"/>
              </w:rPr>
              <w:t xml:space="preserve">in this case Carbon Trading Recordation and Reporting, </w:t>
            </w:r>
            <w:r w:rsidRPr="007931AB">
              <w:rPr>
                <w:rFonts w:ascii="Calibri" w:eastAsia="Times New Roman" w:hAnsi="Calibri" w:cs="Calibri"/>
                <w:kern w:val="0"/>
                <w:lang w:eastAsia="en-GB"/>
                <w14:ligatures w14:val="none"/>
              </w:rPr>
              <w:t>including:</w:t>
            </w:r>
          </w:p>
          <w:p w14:paraId="179C714D" w14:textId="7070D2BA" w:rsidR="007931AB" w:rsidRDefault="007931AB" w:rsidP="007931AB">
            <w:pPr>
              <w:pStyle w:val="ListParagraph"/>
              <w:numPr>
                <w:ilvl w:val="0"/>
                <w:numId w:val="51"/>
              </w:num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Emissions Trading Recordation and Reporting </w:t>
            </w:r>
            <w:r w:rsidR="00CC2F6A">
              <w:rPr>
                <w:rFonts w:ascii="Calibri" w:eastAsia="Times New Roman" w:hAnsi="Calibri" w:cs="Calibri"/>
                <w:kern w:val="0"/>
                <w:lang w:eastAsia="en-GB"/>
                <w14:ligatures w14:val="none"/>
              </w:rPr>
              <w:t>(</w:t>
            </w:r>
            <w:r w:rsidR="00CC2F6A" w:rsidRPr="00CC2F6A">
              <w:rPr>
                <w:rFonts w:ascii="Calibri" w:eastAsia="Times New Roman" w:hAnsi="Calibri" w:cs="Calibri"/>
                <w:i/>
                <w:iCs/>
                <w:kern w:val="0"/>
                <w:lang w:eastAsia="en-GB"/>
                <w14:ligatures w14:val="none"/>
              </w:rPr>
              <w:t xml:space="preserve">Articles 44 – 45 of </w:t>
            </w:r>
            <w:r w:rsidR="00DB01D4">
              <w:rPr>
                <w:rFonts w:ascii="Calibri" w:eastAsia="Times New Roman" w:hAnsi="Calibri" w:cs="Calibri"/>
                <w:i/>
                <w:iCs/>
                <w:kern w:val="0"/>
                <w:lang w:eastAsia="en-GB"/>
                <w14:ligatures w14:val="none"/>
              </w:rPr>
              <w:t>Policy tool</w:t>
            </w:r>
            <w:r w:rsidR="00CC2F6A">
              <w:rPr>
                <w:rFonts w:ascii="Calibri" w:eastAsia="Times New Roman" w:hAnsi="Calibri" w:cs="Calibri"/>
                <w:kern w:val="0"/>
                <w:lang w:eastAsia="en-GB"/>
                <w14:ligatures w14:val="none"/>
              </w:rPr>
              <w:t>)</w:t>
            </w:r>
            <w:r w:rsidR="007B710C">
              <w:rPr>
                <w:rFonts w:ascii="Calibri" w:eastAsia="Times New Roman" w:hAnsi="Calibri" w:cs="Calibri"/>
                <w:kern w:val="0"/>
                <w:lang w:eastAsia="en-GB"/>
                <w14:ligatures w14:val="none"/>
              </w:rPr>
              <w:t xml:space="preserve">; and </w:t>
            </w:r>
          </w:p>
          <w:p w14:paraId="38C2165D" w14:textId="4B29C932" w:rsidR="007B710C" w:rsidRPr="007B710C" w:rsidRDefault="007931AB" w:rsidP="007B710C">
            <w:pPr>
              <w:pStyle w:val="ListParagraph"/>
              <w:numPr>
                <w:ilvl w:val="0"/>
                <w:numId w:val="51"/>
              </w:num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GHG Emission Offset Recording and Reporting</w:t>
            </w:r>
            <w:r w:rsidR="00CC2F6A">
              <w:rPr>
                <w:rFonts w:ascii="Calibri" w:eastAsia="Times New Roman" w:hAnsi="Calibri" w:cs="Calibri"/>
                <w:kern w:val="0"/>
                <w:lang w:eastAsia="en-GB"/>
                <w14:ligatures w14:val="none"/>
              </w:rPr>
              <w:t xml:space="preserve"> </w:t>
            </w:r>
            <w:r w:rsidR="007B710C" w:rsidRPr="007B710C">
              <w:rPr>
                <w:rFonts w:ascii="Calibri" w:eastAsia="Times New Roman" w:hAnsi="Calibri" w:cs="Calibri"/>
                <w:kern w:val="0"/>
                <w:lang w:eastAsia="en-GB"/>
                <w14:ligatures w14:val="none"/>
              </w:rPr>
              <w:t>(</w:t>
            </w:r>
            <w:r w:rsidR="007B710C" w:rsidRPr="007B710C">
              <w:rPr>
                <w:rFonts w:ascii="Calibri" w:eastAsia="Times New Roman" w:hAnsi="Calibri" w:cs="Calibri"/>
                <w:i/>
                <w:iCs/>
                <w:kern w:val="0"/>
                <w:lang w:eastAsia="en-GB"/>
                <w14:ligatures w14:val="none"/>
              </w:rPr>
              <w:t>Articles 4</w:t>
            </w:r>
            <w:r w:rsidR="007B710C">
              <w:rPr>
                <w:rFonts w:ascii="Calibri" w:eastAsia="Times New Roman" w:hAnsi="Calibri" w:cs="Calibri"/>
                <w:i/>
                <w:iCs/>
                <w:kern w:val="0"/>
                <w:lang w:eastAsia="en-GB"/>
                <w14:ligatures w14:val="none"/>
              </w:rPr>
              <w:t>6</w:t>
            </w:r>
            <w:r w:rsidR="007B710C" w:rsidRPr="007B710C">
              <w:rPr>
                <w:rFonts w:ascii="Calibri" w:eastAsia="Times New Roman" w:hAnsi="Calibri" w:cs="Calibri"/>
                <w:i/>
                <w:iCs/>
                <w:kern w:val="0"/>
                <w:lang w:eastAsia="en-GB"/>
                <w14:ligatures w14:val="none"/>
              </w:rPr>
              <w:t xml:space="preserve"> – 4</w:t>
            </w:r>
            <w:r w:rsidR="007B710C">
              <w:rPr>
                <w:rFonts w:ascii="Calibri" w:eastAsia="Times New Roman" w:hAnsi="Calibri" w:cs="Calibri"/>
                <w:i/>
                <w:iCs/>
                <w:kern w:val="0"/>
                <w:lang w:eastAsia="en-GB"/>
                <w14:ligatures w14:val="none"/>
              </w:rPr>
              <w:t>7</w:t>
            </w:r>
            <w:r w:rsidR="007B710C" w:rsidRPr="007B710C">
              <w:rPr>
                <w:rFonts w:ascii="Calibri" w:eastAsia="Times New Roman" w:hAnsi="Calibri" w:cs="Calibri"/>
                <w:i/>
                <w:iCs/>
                <w:kern w:val="0"/>
                <w:lang w:eastAsia="en-GB"/>
                <w14:ligatures w14:val="none"/>
              </w:rPr>
              <w:t xml:space="preserve"> of </w:t>
            </w:r>
            <w:r w:rsidR="00DB01D4">
              <w:rPr>
                <w:rFonts w:ascii="Calibri" w:eastAsia="Times New Roman" w:hAnsi="Calibri" w:cs="Calibri"/>
                <w:i/>
                <w:iCs/>
                <w:kern w:val="0"/>
                <w:lang w:eastAsia="en-GB"/>
                <w14:ligatures w14:val="none"/>
              </w:rPr>
              <w:t>Policy tool</w:t>
            </w:r>
            <w:r w:rsidR="007B710C" w:rsidRPr="007B710C">
              <w:rPr>
                <w:rFonts w:ascii="Calibri" w:eastAsia="Times New Roman" w:hAnsi="Calibri" w:cs="Calibri"/>
                <w:kern w:val="0"/>
                <w:lang w:eastAsia="en-GB"/>
                <w14:ligatures w14:val="none"/>
              </w:rPr>
              <w:t>)</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4C514AA" w:rsidR="00343937" w:rsidRPr="00CF2E7C" w:rsidRDefault="007B710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47B6A3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B710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46077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788F">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2669E59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788F">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4799E7B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788F">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65B15B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788F">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6C82A9" w14:textId="3861B515" w:rsidR="00343937" w:rsidRDefault="0087788F" w:rsidP="0087788F">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Based on Article 6 paragraph (2)(b)(c) of </w:t>
            </w:r>
            <w:r w:rsidR="00DB01D4">
              <w:rPr>
                <w:rFonts w:ascii="Calibri" w:eastAsia="Times New Roman" w:hAnsi="Calibri" w:cs="Calibri"/>
                <w:kern w:val="0"/>
                <w:lang w:eastAsia="en-GB"/>
                <w14:ligatures w14:val="none"/>
              </w:rPr>
              <w:t>Policy tool</w:t>
            </w:r>
            <w:r>
              <w:rPr>
                <w:rFonts w:ascii="Calibri" w:eastAsia="Times New Roman" w:hAnsi="Calibri" w:cs="Calibri"/>
                <w:kern w:val="0"/>
                <w:lang w:eastAsia="en-GB"/>
                <w14:ligatures w14:val="none"/>
              </w:rPr>
              <w:t>, one of the specific criteria related to Emissions Trading and/or GHG Emissions Offsets is harmonization with other mechanisms for implementation of the organization of NEK to avoid double counting and double payments</w:t>
            </w:r>
            <w:r w:rsidR="00891B82">
              <w:rPr>
                <w:rFonts w:ascii="Calibri" w:eastAsia="Times New Roman" w:hAnsi="Calibri" w:cs="Calibri"/>
                <w:kern w:val="0"/>
                <w:lang w:eastAsia="en-GB"/>
                <w14:ligatures w14:val="none"/>
              </w:rPr>
              <w:t xml:space="preserve">. Furthermore, as stipulated in Article 41 paragraph (2) of </w:t>
            </w:r>
            <w:r w:rsidR="00DB01D4">
              <w:rPr>
                <w:rFonts w:ascii="Calibri" w:eastAsia="Times New Roman" w:hAnsi="Calibri" w:cs="Calibri"/>
                <w:kern w:val="0"/>
                <w:lang w:eastAsia="en-GB"/>
                <w14:ligatures w14:val="none"/>
              </w:rPr>
              <w:t>Policy tool</w:t>
            </w:r>
            <w:r w:rsidR="00891B82">
              <w:rPr>
                <w:rFonts w:ascii="Calibri" w:eastAsia="Times New Roman" w:hAnsi="Calibri" w:cs="Calibri"/>
                <w:kern w:val="0"/>
                <w:lang w:eastAsia="en-GB"/>
                <w14:ligatures w14:val="none"/>
              </w:rPr>
              <w:t>, Verification shall be submitted through a report which at least contains:</w:t>
            </w:r>
          </w:p>
          <w:p w14:paraId="2BCE631A" w14:textId="77777777" w:rsidR="00891B82" w:rsidRDefault="00891B82" w:rsidP="00891B82">
            <w:pPr>
              <w:pStyle w:val="ListParagraph"/>
              <w:numPr>
                <w:ilvl w:val="0"/>
                <w:numId w:val="52"/>
              </w:numPr>
              <w:jc w:val="both"/>
              <w:textAlignment w:val="baseline"/>
              <w:rPr>
                <w:rFonts w:ascii="Calibri" w:eastAsia="Times New Roman" w:hAnsi="Calibri" w:cs="Calibri"/>
                <w:kern w:val="0"/>
                <w:lang w:eastAsia="en-GB"/>
                <w14:ligatures w14:val="none"/>
              </w:rPr>
            </w:pPr>
            <w:r w:rsidRPr="00891B82">
              <w:rPr>
                <w:rFonts w:ascii="Calibri" w:eastAsia="Times New Roman" w:hAnsi="Calibri" w:cs="Calibri"/>
                <w:kern w:val="0"/>
                <w:lang w:eastAsia="en-GB"/>
                <w14:ligatures w14:val="none"/>
              </w:rPr>
              <w:t>summary of the process and scope of the Verification;</w:t>
            </w:r>
          </w:p>
          <w:p w14:paraId="0B4FA7C0" w14:textId="77777777" w:rsidR="00891B82" w:rsidRDefault="00891B82" w:rsidP="00891B82">
            <w:pPr>
              <w:pStyle w:val="ListParagraph"/>
              <w:numPr>
                <w:ilvl w:val="0"/>
                <w:numId w:val="52"/>
              </w:numPr>
              <w:jc w:val="both"/>
              <w:textAlignment w:val="baseline"/>
              <w:rPr>
                <w:rFonts w:ascii="Calibri" w:eastAsia="Times New Roman" w:hAnsi="Calibri" w:cs="Calibri"/>
                <w:kern w:val="0"/>
                <w:lang w:eastAsia="en-GB"/>
                <w14:ligatures w14:val="none"/>
              </w:rPr>
            </w:pPr>
            <w:r w:rsidRPr="00891B82">
              <w:rPr>
                <w:rFonts w:ascii="Calibri" w:eastAsia="Times New Roman" w:hAnsi="Calibri" w:cs="Calibri"/>
                <w:kern w:val="0"/>
                <w:lang w:eastAsia="en-GB"/>
                <w14:ligatures w14:val="none"/>
              </w:rPr>
              <w:t>summary of Verification result and determined confidence level;</w:t>
            </w:r>
          </w:p>
          <w:p w14:paraId="1D6226D1" w14:textId="77777777" w:rsidR="00891B82" w:rsidRDefault="00891B82" w:rsidP="00891B82">
            <w:pPr>
              <w:pStyle w:val="ListParagraph"/>
              <w:numPr>
                <w:ilvl w:val="0"/>
                <w:numId w:val="52"/>
              </w:numPr>
              <w:jc w:val="both"/>
              <w:textAlignment w:val="baseline"/>
              <w:rPr>
                <w:rFonts w:ascii="Calibri" w:eastAsia="Times New Roman" w:hAnsi="Calibri" w:cs="Calibri"/>
                <w:kern w:val="0"/>
                <w:lang w:eastAsia="en-GB"/>
                <w14:ligatures w14:val="none"/>
              </w:rPr>
            </w:pPr>
            <w:r w:rsidRPr="00891B82">
              <w:rPr>
                <w:rFonts w:ascii="Calibri" w:eastAsia="Times New Roman" w:hAnsi="Calibri" w:cs="Calibri"/>
                <w:kern w:val="0"/>
                <w:lang w:eastAsia="en-GB"/>
                <w14:ligatures w14:val="none"/>
              </w:rPr>
              <w:t>details of the members of Verification team, technical experts, and reviewers who are involved, as</w:t>
            </w:r>
            <w:r>
              <w:rPr>
                <w:rFonts w:ascii="Calibri" w:eastAsia="Times New Roman" w:hAnsi="Calibri" w:cs="Calibri"/>
                <w:kern w:val="0"/>
                <w:lang w:eastAsia="en-GB"/>
                <w14:ligatures w14:val="none"/>
              </w:rPr>
              <w:t xml:space="preserve"> </w:t>
            </w:r>
            <w:r w:rsidRPr="00891B82">
              <w:rPr>
                <w:rFonts w:ascii="Calibri" w:eastAsia="Times New Roman" w:hAnsi="Calibri" w:cs="Calibri"/>
                <w:kern w:val="0"/>
                <w:lang w:eastAsia="en-GB"/>
                <w14:ligatures w14:val="none"/>
              </w:rPr>
              <w:t>well as their respective roles in Verification activities and details of the</w:t>
            </w:r>
            <w:r>
              <w:rPr>
                <w:rFonts w:ascii="Calibri" w:eastAsia="Times New Roman" w:hAnsi="Calibri" w:cs="Calibri"/>
                <w:kern w:val="0"/>
                <w:lang w:eastAsia="en-GB"/>
                <w14:ligatures w14:val="none"/>
              </w:rPr>
              <w:t xml:space="preserve"> </w:t>
            </w:r>
            <w:r w:rsidRPr="00891B82">
              <w:rPr>
                <w:rFonts w:ascii="Calibri" w:eastAsia="Times New Roman" w:hAnsi="Calibri" w:cs="Calibri"/>
                <w:kern w:val="0"/>
                <w:lang w:eastAsia="en-GB"/>
                <w14:ligatures w14:val="none"/>
              </w:rPr>
              <w:t>personnel who conduct field</w:t>
            </w:r>
            <w:r>
              <w:rPr>
                <w:rFonts w:ascii="Calibri" w:eastAsia="Times New Roman" w:hAnsi="Calibri" w:cs="Calibri"/>
                <w:kern w:val="0"/>
                <w:lang w:eastAsia="en-GB"/>
                <w14:ligatures w14:val="none"/>
              </w:rPr>
              <w:t xml:space="preserve"> </w:t>
            </w:r>
            <w:r w:rsidRPr="00891B82">
              <w:rPr>
                <w:rFonts w:ascii="Calibri" w:eastAsia="Times New Roman" w:hAnsi="Calibri" w:cs="Calibri"/>
                <w:kern w:val="0"/>
                <w:lang w:eastAsia="en-GB"/>
                <w14:ligatures w14:val="none"/>
              </w:rPr>
              <w:t>reviews;</w:t>
            </w:r>
          </w:p>
          <w:p w14:paraId="0AF5C575" w14:textId="77777777" w:rsidR="00891B82" w:rsidRDefault="00891B82" w:rsidP="00891B82">
            <w:pPr>
              <w:pStyle w:val="ListParagraph"/>
              <w:numPr>
                <w:ilvl w:val="0"/>
                <w:numId w:val="52"/>
              </w:numPr>
              <w:jc w:val="both"/>
              <w:textAlignment w:val="baseline"/>
              <w:rPr>
                <w:rFonts w:ascii="Calibri" w:eastAsia="Times New Roman" w:hAnsi="Calibri" w:cs="Calibri"/>
                <w:kern w:val="0"/>
                <w:lang w:eastAsia="en-GB"/>
                <w14:ligatures w14:val="none"/>
              </w:rPr>
            </w:pPr>
            <w:r w:rsidRPr="00891B82">
              <w:rPr>
                <w:rFonts w:ascii="Calibri" w:eastAsia="Times New Roman" w:hAnsi="Calibri" w:cs="Calibri"/>
                <w:kern w:val="0"/>
                <w:lang w:eastAsia="en-GB"/>
                <w14:ligatures w14:val="none"/>
              </w:rPr>
              <w:t>findings on secondary data review (desk review) and the field review; and</w:t>
            </w:r>
          </w:p>
          <w:p w14:paraId="51F3D69D" w14:textId="4569E7FE" w:rsidR="00891B82" w:rsidRDefault="00891B82" w:rsidP="00891B82">
            <w:pPr>
              <w:pStyle w:val="ListParagraph"/>
              <w:numPr>
                <w:ilvl w:val="0"/>
                <w:numId w:val="52"/>
              </w:numPr>
              <w:jc w:val="both"/>
              <w:textAlignment w:val="baseline"/>
              <w:rPr>
                <w:rFonts w:ascii="Calibri" w:eastAsia="Times New Roman" w:hAnsi="Calibri" w:cs="Calibri"/>
                <w:kern w:val="0"/>
                <w:lang w:eastAsia="en-GB"/>
                <w14:ligatures w14:val="none"/>
              </w:rPr>
            </w:pPr>
            <w:r w:rsidRPr="00891B82">
              <w:rPr>
                <w:rFonts w:ascii="Calibri" w:eastAsia="Times New Roman" w:hAnsi="Calibri" w:cs="Calibri"/>
                <w:kern w:val="0"/>
                <w:lang w:eastAsia="en-GB"/>
                <w14:ligatures w14:val="none"/>
              </w:rPr>
              <w:t>report establishment date</w:t>
            </w:r>
          </w:p>
          <w:p w14:paraId="333B3880" w14:textId="405D4192" w:rsidR="00891B82" w:rsidRDefault="00891B82" w:rsidP="00891B82">
            <w:pPr>
              <w:jc w:val="both"/>
              <w:textAlignment w:val="baseline"/>
              <w:rPr>
                <w:rFonts w:ascii="Calibri" w:eastAsia="Times New Roman" w:hAnsi="Calibri" w:cs="Calibri"/>
                <w:kern w:val="0"/>
                <w:lang w:val="en-US" w:eastAsia="en-GB"/>
                <w14:ligatures w14:val="none"/>
              </w:rPr>
            </w:pPr>
            <w:r w:rsidRPr="00891B82">
              <w:rPr>
                <w:rFonts w:ascii="Calibri" w:eastAsia="Times New Roman" w:hAnsi="Calibri" w:cs="Calibri"/>
                <w:kern w:val="0"/>
                <w:lang w:val="en-US" w:eastAsia="en-GB"/>
                <w14:ligatures w14:val="none"/>
              </w:rPr>
              <w:t xml:space="preserve">More specific provisions regarding the avoidance of double registration are set out in </w:t>
            </w:r>
            <w:r w:rsidR="00DB01D4">
              <w:rPr>
                <w:rFonts w:ascii="Calibri" w:eastAsia="Times New Roman" w:hAnsi="Calibri" w:cs="Calibri"/>
                <w:kern w:val="0"/>
                <w:lang w:val="en-US" w:eastAsia="en-GB"/>
                <w14:ligatures w14:val="none"/>
              </w:rPr>
              <w:t>Policy tool</w:t>
            </w:r>
            <w:r w:rsidRPr="00891B82">
              <w:rPr>
                <w:rFonts w:ascii="Calibri" w:eastAsia="Times New Roman" w:hAnsi="Calibri" w:cs="Calibri"/>
                <w:kern w:val="0"/>
                <w:lang w:val="en-US" w:eastAsia="en-GB"/>
                <w14:ligatures w14:val="none"/>
              </w:rPr>
              <w:t xml:space="preserve"> Appendix, covering (i) Validation (validation criteria, validation methods, and reporting criteria); </w:t>
            </w:r>
            <w:r w:rsidRPr="00891B82">
              <w:rPr>
                <w:rFonts w:ascii="Calibri" w:eastAsia="Times New Roman" w:hAnsi="Calibri" w:cs="Calibri"/>
                <w:kern w:val="0"/>
                <w:lang w:val="en-US" w:eastAsia="en-GB"/>
                <w14:ligatures w14:val="none"/>
              </w:rPr>
              <w:lastRenderedPageBreak/>
              <w:t>and (ii) Verification (verification requirements, verification criteria, verification methods, and reporting criteria).</w:t>
            </w:r>
          </w:p>
          <w:p w14:paraId="2DE5E032" w14:textId="06709F60" w:rsidR="00891B82" w:rsidRDefault="00891B82" w:rsidP="00891B82">
            <w:pPr>
              <w:jc w:val="both"/>
              <w:textAlignment w:val="baseline"/>
              <w:rPr>
                <w:rFonts w:ascii="Calibri" w:eastAsia="Times New Roman" w:hAnsi="Calibri" w:cs="Calibri"/>
                <w:kern w:val="0"/>
                <w:lang w:eastAsia="en-GB"/>
                <w14:ligatures w14:val="none"/>
              </w:rPr>
            </w:pPr>
            <w:r w:rsidRPr="00891B82">
              <w:rPr>
                <w:rFonts w:ascii="Calibri" w:eastAsia="Times New Roman" w:hAnsi="Calibri" w:cs="Calibri"/>
                <w:kern w:val="0"/>
                <w:lang w:val="en-US" w:eastAsia="en-GB"/>
                <w14:ligatures w14:val="none"/>
              </w:rPr>
              <w:t xml:space="preserve">On top of that, the provisions regarding cancellation stipulated in Article 54 of </w:t>
            </w:r>
            <w:r w:rsidR="00DB01D4">
              <w:rPr>
                <w:rFonts w:ascii="Calibri" w:eastAsia="Times New Roman" w:hAnsi="Calibri" w:cs="Calibri"/>
                <w:kern w:val="0"/>
                <w:lang w:val="en-US" w:eastAsia="en-GB"/>
                <w14:ligatures w14:val="none"/>
              </w:rPr>
              <w:t>Policy tool</w:t>
            </w:r>
            <w:r>
              <w:rPr>
                <w:rFonts w:ascii="Calibri" w:eastAsia="Times New Roman" w:hAnsi="Calibri" w:cs="Calibri"/>
                <w:kern w:val="0"/>
                <w:lang w:val="en-US" w:eastAsia="en-GB"/>
                <w14:ligatures w14:val="none"/>
              </w:rPr>
              <w:t xml:space="preserve">, which states issuance of SPE-GRK and </w:t>
            </w:r>
            <w:r w:rsidR="00E11ECB">
              <w:rPr>
                <w:rFonts w:ascii="Calibri" w:eastAsia="Times New Roman" w:hAnsi="Calibri" w:cs="Calibri"/>
                <w:kern w:val="0"/>
                <w:lang w:val="en-US" w:eastAsia="en-GB"/>
                <w14:ligatures w14:val="none"/>
              </w:rPr>
              <w:t>T</w:t>
            </w:r>
            <w:r w:rsidR="00E11ECB" w:rsidRPr="00E11ECB">
              <w:rPr>
                <w:rFonts w:ascii="Calibri" w:eastAsia="Times New Roman" w:hAnsi="Calibri" w:cs="Calibri"/>
                <w:kern w:val="0"/>
                <w:lang w:eastAsia="en-GB"/>
                <w14:ligatures w14:val="none"/>
              </w:rPr>
              <w:t>echnical Approval for Upper Emissions Limit</w:t>
            </w:r>
            <w:r w:rsidR="00E11ECB">
              <w:rPr>
                <w:rFonts w:ascii="Calibri" w:eastAsia="Times New Roman" w:hAnsi="Calibri" w:cs="Calibri"/>
                <w:kern w:val="0"/>
                <w:lang w:eastAsia="en-GB"/>
                <w14:ligatures w14:val="none"/>
              </w:rPr>
              <w:t xml:space="preserve"> (“</w:t>
            </w:r>
            <w:r w:rsidR="00E11ECB">
              <w:rPr>
                <w:rFonts w:ascii="Calibri" w:eastAsia="Times New Roman" w:hAnsi="Calibri" w:cs="Calibri"/>
                <w:b/>
                <w:bCs/>
                <w:kern w:val="0"/>
                <w:lang w:eastAsia="en-GB"/>
                <w14:ligatures w14:val="none"/>
              </w:rPr>
              <w:t>PTBAE</w:t>
            </w:r>
            <w:r w:rsidR="00E11ECB">
              <w:rPr>
                <w:rFonts w:ascii="Calibri" w:eastAsia="Times New Roman" w:hAnsi="Calibri" w:cs="Calibri"/>
                <w:kern w:val="0"/>
                <w:lang w:eastAsia="en-GB"/>
                <w14:ligatures w14:val="none"/>
              </w:rPr>
              <w:t>”) for Business Actors (“</w:t>
            </w:r>
            <w:r w:rsidR="00E11ECB">
              <w:rPr>
                <w:rFonts w:ascii="Calibri" w:eastAsia="Times New Roman" w:hAnsi="Calibri" w:cs="Calibri"/>
                <w:b/>
                <w:bCs/>
                <w:kern w:val="0"/>
                <w:lang w:eastAsia="en-GB"/>
                <w14:ligatures w14:val="none"/>
              </w:rPr>
              <w:t>PTBAE-PU</w:t>
            </w:r>
            <w:r w:rsidR="00E11ECB">
              <w:rPr>
                <w:rFonts w:ascii="Calibri" w:eastAsia="Times New Roman" w:hAnsi="Calibri" w:cs="Calibri"/>
                <w:kern w:val="0"/>
                <w:lang w:eastAsia="en-GB"/>
                <w14:ligatures w14:val="none"/>
              </w:rPr>
              <w:t>”) which has be</w:t>
            </w:r>
            <w:r w:rsidR="003A33FF">
              <w:rPr>
                <w:rFonts w:ascii="Calibri" w:eastAsia="Times New Roman" w:hAnsi="Calibri" w:cs="Calibri"/>
                <w:kern w:val="0"/>
                <w:lang w:eastAsia="en-GB"/>
                <w14:ligatures w14:val="none"/>
              </w:rPr>
              <w:t>e</w:t>
            </w:r>
            <w:r w:rsidR="00E11ECB">
              <w:rPr>
                <w:rFonts w:ascii="Calibri" w:eastAsia="Times New Roman" w:hAnsi="Calibri" w:cs="Calibri"/>
                <w:kern w:val="0"/>
                <w:lang w:eastAsia="en-GB"/>
                <w14:ligatures w14:val="none"/>
              </w:rPr>
              <w:t>n used by NEK organizers shall be transferred by the Director General of Climate Change Control to annulment account in the SRN PPI carbon registry. The annulment account shall record information that at least contains:</w:t>
            </w:r>
          </w:p>
          <w:p w14:paraId="28449735" w14:textId="11357DAD" w:rsidR="00E11ECB" w:rsidRDefault="00E11ECB" w:rsidP="00E11ECB">
            <w:pPr>
              <w:pStyle w:val="ListParagraph"/>
              <w:numPr>
                <w:ilvl w:val="0"/>
                <w:numId w:val="53"/>
              </w:numPr>
              <w:jc w:val="both"/>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the amount of SPE-GRK and/or PTBAE-PU used;</w:t>
            </w:r>
          </w:p>
          <w:p w14:paraId="77C4BFD6" w14:textId="0530EBC2" w:rsidR="00E11ECB" w:rsidRDefault="00E11ECB" w:rsidP="00E11ECB">
            <w:pPr>
              <w:pStyle w:val="ListParagraph"/>
              <w:numPr>
                <w:ilvl w:val="0"/>
                <w:numId w:val="53"/>
              </w:numPr>
              <w:jc w:val="both"/>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intended use; and</w:t>
            </w:r>
          </w:p>
          <w:p w14:paraId="3443E223" w14:textId="615F4458" w:rsidR="00E11ECB" w:rsidRPr="00E11ECB" w:rsidRDefault="00E11ECB" w:rsidP="00E11ECB">
            <w:pPr>
              <w:pStyle w:val="ListParagraph"/>
              <w:numPr>
                <w:ilvl w:val="0"/>
                <w:numId w:val="53"/>
              </w:numPr>
              <w:jc w:val="both"/>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parties who utilize SPE-GRK and/or PTBAE-PU in the event that the user is not the owner of operational account migration that becomes the origin of the SPE-GRK and/or PTBAE-PU.</w:t>
            </w:r>
          </w:p>
          <w:p w14:paraId="5961234F" w14:textId="577673FF" w:rsidR="0087788F" w:rsidRPr="00EF7C48" w:rsidRDefault="00E11ECB" w:rsidP="0087788F">
            <w:pPr>
              <w:jc w:val="both"/>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eastAsia="en-GB"/>
                <w14:ligatures w14:val="none"/>
              </w:rPr>
              <w:t xml:space="preserve">Finally, the provision to that credits traded internationally are not double counted in the host and buyer jurisdictions, is stipulated in Article 52 paragraph (4)(g) </w:t>
            </w:r>
            <w:r w:rsidRPr="00891B82">
              <w:rPr>
                <w:rFonts w:ascii="Calibri" w:eastAsia="Times New Roman" w:hAnsi="Calibri" w:cs="Calibri"/>
                <w:kern w:val="0"/>
                <w:lang w:val="en-US" w:eastAsia="en-GB"/>
                <w14:ligatures w14:val="none"/>
              </w:rPr>
              <w:t xml:space="preserve">of </w:t>
            </w:r>
            <w:r w:rsidR="00DB01D4">
              <w:rPr>
                <w:rFonts w:ascii="Calibri" w:eastAsia="Times New Roman" w:hAnsi="Calibri" w:cs="Calibri"/>
                <w:kern w:val="0"/>
                <w:lang w:val="en-US" w:eastAsia="en-GB"/>
                <w14:ligatures w14:val="none"/>
              </w:rPr>
              <w:t>Policy tool</w:t>
            </w:r>
            <w:r>
              <w:rPr>
                <w:rFonts w:ascii="Calibri" w:eastAsia="Times New Roman" w:hAnsi="Calibri" w:cs="Calibri"/>
                <w:kern w:val="0"/>
                <w:lang w:val="en-US" w:eastAsia="en-GB"/>
                <w14:ligatures w14:val="none"/>
              </w:rPr>
              <w:t xml:space="preserve">, </w:t>
            </w:r>
            <w:r w:rsidR="00EF7C48">
              <w:rPr>
                <w:rFonts w:ascii="Calibri" w:eastAsia="Times New Roman" w:hAnsi="Calibri" w:cs="Calibri"/>
                <w:kern w:val="0"/>
                <w:lang w:val="en-US" w:eastAsia="en-GB"/>
                <w14:ligatures w14:val="none"/>
              </w:rPr>
              <w:t>which states o</w:t>
            </w:r>
            <w:r w:rsidR="00EF7C48" w:rsidRPr="00EF7C48">
              <w:rPr>
                <w:rFonts w:ascii="Calibri" w:eastAsia="Times New Roman" w:hAnsi="Calibri" w:cs="Calibri"/>
                <w:kern w:val="0"/>
                <w:lang w:val="en-US" w:eastAsia="en-GB"/>
                <w14:ligatures w14:val="none"/>
              </w:rPr>
              <w:t xml:space="preserve">ne </w:t>
            </w:r>
            <w:r w:rsidR="00496C14">
              <w:rPr>
                <w:rFonts w:ascii="Calibri" w:eastAsia="Times New Roman" w:hAnsi="Calibri" w:cs="Calibri"/>
                <w:kern w:val="0"/>
                <w:lang w:val="en-US" w:eastAsia="en-GB"/>
                <w14:ligatures w14:val="none"/>
              </w:rPr>
              <w:t>such form of</w:t>
            </w:r>
            <w:r w:rsidR="00EF7C48" w:rsidRPr="00EF7C48">
              <w:rPr>
                <w:rFonts w:ascii="Calibri" w:eastAsia="Times New Roman" w:hAnsi="Calibri" w:cs="Calibri"/>
                <w:kern w:val="0"/>
                <w:lang w:val="en-US" w:eastAsia="en-GB"/>
                <w14:ligatures w14:val="none"/>
              </w:rPr>
              <w:t xml:space="preserve"> information that must be included in </w:t>
            </w:r>
            <w:r w:rsidR="00EF7C48">
              <w:rPr>
                <w:rFonts w:ascii="Calibri" w:eastAsia="Times New Roman" w:hAnsi="Calibri" w:cs="Calibri"/>
                <w:kern w:val="0"/>
                <w:lang w:val="en-US" w:eastAsia="en-GB"/>
                <w14:ligatures w14:val="none"/>
              </w:rPr>
              <w:t>the S</w:t>
            </w:r>
            <w:r w:rsidR="00EF7C48" w:rsidRPr="00EF7C48">
              <w:rPr>
                <w:rFonts w:ascii="Calibri" w:eastAsia="Times New Roman" w:hAnsi="Calibri" w:cs="Calibri"/>
                <w:kern w:val="0"/>
                <w:lang w:val="en-US" w:eastAsia="en-GB"/>
                <w14:ligatures w14:val="none"/>
              </w:rPr>
              <w:t>PE-GRK record</w:t>
            </w:r>
            <w:r w:rsidR="00EF7C48">
              <w:rPr>
                <w:rFonts w:ascii="Calibri" w:eastAsia="Times New Roman" w:hAnsi="Calibri" w:cs="Calibri"/>
                <w:kern w:val="0"/>
                <w:lang w:val="en-US" w:eastAsia="en-GB"/>
                <w14:ligatures w14:val="none"/>
              </w:rPr>
              <w:t>ation is the transfer of SPE-GRK during the first transfer abroad to the international registry system as the recordation of adjustment.</w:t>
            </w:r>
          </w:p>
          <w:p w14:paraId="4878BF58" w14:textId="6560BFD3" w:rsidR="00E11ECB" w:rsidRPr="00CF2E7C" w:rsidRDefault="00E11ECB" w:rsidP="00E11ECB">
            <w:pPr>
              <w:jc w:val="both"/>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6447180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D3174">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1671611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D3174">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16A691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D317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114DBA" w14:textId="1A6EE751" w:rsidR="008D3174" w:rsidRDefault="008D3174" w:rsidP="008D3174">
            <w:pPr>
              <w:jc w:val="both"/>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eastAsia="en-GB"/>
                <w14:ligatures w14:val="none"/>
              </w:rPr>
              <w:t xml:space="preserve">The provisions related to using revenues for the environmental, developmental, or social objectives are stipulated in Chapter IX on The Management of Carbon Trade Funds of </w:t>
            </w:r>
            <w:r w:rsidR="00DB01D4">
              <w:rPr>
                <w:rFonts w:ascii="Calibri" w:eastAsia="Times New Roman" w:hAnsi="Calibri" w:cs="Calibri"/>
                <w:kern w:val="0"/>
                <w:lang w:eastAsia="en-GB"/>
                <w14:ligatures w14:val="none"/>
              </w:rPr>
              <w:t>Policy tool</w:t>
            </w:r>
            <w:r>
              <w:rPr>
                <w:rFonts w:ascii="Calibri" w:eastAsia="Times New Roman" w:hAnsi="Calibri" w:cs="Calibri"/>
                <w:kern w:val="0"/>
                <w:lang w:eastAsia="en-GB"/>
                <w14:ligatures w14:val="none"/>
              </w:rPr>
              <w:t xml:space="preserve"> (</w:t>
            </w:r>
            <w:r w:rsidRPr="008D3174">
              <w:rPr>
                <w:rFonts w:ascii="Calibri" w:eastAsia="Times New Roman" w:hAnsi="Calibri" w:cs="Calibri"/>
                <w:i/>
                <w:iCs/>
                <w:kern w:val="0"/>
                <w:lang w:eastAsia="en-GB"/>
                <w14:ligatures w14:val="none"/>
              </w:rPr>
              <w:t xml:space="preserve">Articles 73 – 77 of </w:t>
            </w:r>
            <w:r w:rsidR="00DB01D4">
              <w:rPr>
                <w:rFonts w:ascii="Calibri" w:eastAsia="Times New Roman" w:hAnsi="Calibri" w:cs="Calibri"/>
                <w:i/>
                <w:iCs/>
                <w:kern w:val="0"/>
                <w:lang w:eastAsia="en-GB"/>
                <w14:ligatures w14:val="none"/>
              </w:rPr>
              <w:t>Policy tool</w:t>
            </w:r>
            <w:r>
              <w:rPr>
                <w:rFonts w:ascii="Calibri" w:eastAsia="Times New Roman" w:hAnsi="Calibri" w:cs="Calibri"/>
                <w:kern w:val="0"/>
                <w:lang w:eastAsia="en-GB"/>
                <w14:ligatures w14:val="none"/>
              </w:rPr>
              <w:t xml:space="preserve">), </w:t>
            </w:r>
            <w:r w:rsidRPr="008D3174">
              <w:rPr>
                <w:rFonts w:ascii="Calibri" w:eastAsia="Times New Roman" w:hAnsi="Calibri" w:cs="Calibri"/>
                <w:kern w:val="0"/>
                <w:lang w:val="en-US" w:eastAsia="en-GB"/>
                <w14:ligatures w14:val="none"/>
              </w:rPr>
              <w:t>which essentially stipulates that</w:t>
            </w:r>
            <w:r>
              <w:rPr>
                <w:rFonts w:ascii="Calibri" w:eastAsia="Times New Roman" w:hAnsi="Calibri" w:cs="Calibri"/>
                <w:kern w:val="0"/>
                <w:lang w:val="en-US" w:eastAsia="en-GB"/>
                <w14:ligatures w14:val="none"/>
              </w:rPr>
              <w:t xml:space="preserve"> the management of Carbon Trading funds shall include:</w:t>
            </w:r>
          </w:p>
          <w:p w14:paraId="335DB043" w14:textId="60CD01A2" w:rsidR="008D3174" w:rsidRDefault="008D3174" w:rsidP="008D3174">
            <w:pPr>
              <w:pStyle w:val="ListParagraph"/>
              <w:numPr>
                <w:ilvl w:val="0"/>
                <w:numId w:val="54"/>
              </w:numPr>
              <w:jc w:val="both"/>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management of funds by BPDLH;</w:t>
            </w:r>
          </w:p>
          <w:p w14:paraId="16BA4295" w14:textId="62AB7A6D" w:rsidR="008D3174" w:rsidRDefault="008D3174" w:rsidP="008D3174">
            <w:pPr>
              <w:pStyle w:val="ListParagraph"/>
              <w:numPr>
                <w:ilvl w:val="0"/>
                <w:numId w:val="54"/>
              </w:numPr>
              <w:jc w:val="both"/>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levies and utilization of funds resulting from Carbon Trading, and Carbon Kevy; and</w:t>
            </w:r>
          </w:p>
          <w:p w14:paraId="625DAC3C" w14:textId="7B98883E" w:rsidR="008D3174" w:rsidRDefault="008D3174" w:rsidP="008D3174">
            <w:pPr>
              <w:pStyle w:val="ListParagraph"/>
              <w:numPr>
                <w:ilvl w:val="0"/>
                <w:numId w:val="54"/>
              </w:numPr>
              <w:jc w:val="both"/>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benefit-sharing procedures.</w:t>
            </w:r>
          </w:p>
          <w:p w14:paraId="6059FC09" w14:textId="024F2F2D" w:rsidR="008D3174" w:rsidRPr="008D3174" w:rsidRDefault="008D3174" w:rsidP="008D3174">
            <w:pPr>
              <w:jc w:val="both"/>
              <w:textAlignment w:val="baseline"/>
              <w:rPr>
                <w:rFonts w:ascii="Calibri" w:eastAsia="Times New Roman" w:hAnsi="Calibri" w:cs="Calibri"/>
                <w:kern w:val="0"/>
                <w:lang w:val="en-US" w:eastAsia="en-GB"/>
                <w14:ligatures w14:val="none"/>
              </w:rPr>
            </w:pPr>
            <w:r w:rsidRPr="008D3174">
              <w:rPr>
                <w:rFonts w:ascii="Calibri" w:eastAsia="Times New Roman" w:hAnsi="Calibri" w:cs="Calibri"/>
                <w:kern w:val="0"/>
                <w:lang w:val="en-US" w:eastAsia="en-GB"/>
                <w14:ligatures w14:val="none"/>
              </w:rPr>
              <w:lastRenderedPageBreak/>
              <w:t>The levy of funds from Carbon Trading shall be used for at least the following</w:t>
            </w:r>
            <w:r>
              <w:rPr>
                <w:rFonts w:ascii="Calibri" w:eastAsia="Times New Roman" w:hAnsi="Calibri" w:cs="Calibri"/>
                <w:kern w:val="0"/>
                <w:lang w:val="en-US" w:eastAsia="en-GB"/>
                <w14:ligatures w14:val="none"/>
              </w:rPr>
              <w:t xml:space="preserve"> </w:t>
            </w:r>
            <w:r w:rsidRPr="008D3174">
              <w:rPr>
                <w:rFonts w:ascii="Calibri" w:eastAsia="Times New Roman" w:hAnsi="Calibri" w:cs="Calibri"/>
                <w:kern w:val="0"/>
                <w:lang w:val="en-US" w:eastAsia="en-GB"/>
                <w14:ligatures w14:val="none"/>
              </w:rPr>
              <w:t>activities</w:t>
            </w:r>
            <w:r>
              <w:rPr>
                <w:rFonts w:ascii="Calibri" w:eastAsia="Times New Roman" w:hAnsi="Calibri" w:cs="Calibri"/>
                <w:kern w:val="0"/>
                <w:lang w:val="en-US" w:eastAsia="en-GB"/>
                <w14:ligatures w14:val="none"/>
              </w:rPr>
              <w:t xml:space="preserve"> (i) </w:t>
            </w:r>
            <w:r w:rsidRPr="008D3174">
              <w:rPr>
                <w:rFonts w:ascii="Calibri" w:eastAsia="Times New Roman" w:hAnsi="Calibri" w:cs="Calibri"/>
                <w:kern w:val="0"/>
                <w:lang w:val="en-US" w:eastAsia="en-GB"/>
                <w14:ligatures w14:val="none"/>
              </w:rPr>
              <w:t>improvement of services;</w:t>
            </w:r>
            <w:r>
              <w:rPr>
                <w:rFonts w:ascii="Calibri" w:eastAsia="Times New Roman" w:hAnsi="Calibri" w:cs="Calibri"/>
                <w:kern w:val="0"/>
                <w:lang w:val="en-US" w:eastAsia="en-GB"/>
                <w14:ligatures w14:val="none"/>
              </w:rPr>
              <w:t xml:space="preserve"> (ii) </w:t>
            </w:r>
            <w:r w:rsidRPr="008D3174">
              <w:rPr>
                <w:rFonts w:ascii="Calibri" w:eastAsia="Times New Roman" w:hAnsi="Calibri" w:cs="Calibri"/>
                <w:kern w:val="0"/>
                <w:lang w:val="en-US" w:eastAsia="en-GB"/>
                <w14:ligatures w14:val="none"/>
              </w:rPr>
              <w:t>Climate Change Adaptation Actions; and</w:t>
            </w:r>
            <w:r>
              <w:rPr>
                <w:rFonts w:ascii="Calibri" w:eastAsia="Times New Roman" w:hAnsi="Calibri" w:cs="Calibri"/>
                <w:kern w:val="0"/>
                <w:lang w:val="en-US" w:eastAsia="en-GB"/>
                <w14:ligatures w14:val="none"/>
              </w:rPr>
              <w:t xml:space="preserve"> (iii) </w:t>
            </w:r>
            <w:r w:rsidRPr="008D3174">
              <w:rPr>
                <w:rFonts w:ascii="Calibri" w:eastAsia="Times New Roman" w:hAnsi="Calibri" w:cs="Calibri"/>
                <w:kern w:val="0"/>
                <w:lang w:val="en-US" w:eastAsia="en-GB"/>
                <w14:ligatures w14:val="none"/>
              </w:rPr>
              <w:t>Climate Change Mitigation Action</w:t>
            </w:r>
            <w:r>
              <w:rPr>
                <w:rFonts w:ascii="Calibri" w:eastAsia="Times New Roman" w:hAnsi="Calibri" w:cs="Calibri"/>
                <w:kern w:val="0"/>
                <w:lang w:val="en-US" w:eastAsia="en-GB"/>
                <w14:ligatures w14:val="none"/>
              </w:rPr>
              <w:t>.</w:t>
            </w:r>
          </w:p>
          <w:p w14:paraId="40CFF5A4" w14:textId="4D41971A" w:rsidR="00343937" w:rsidRPr="00CF2E7C" w:rsidRDefault="00343937" w:rsidP="008D3174">
            <w:pPr>
              <w:jc w:val="both"/>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0B0E586" w:rsidR="00B87C89" w:rsidRPr="00CF2E7C" w:rsidRDefault="009C3FE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7FE77E4B" w:rsidR="00F904EF" w:rsidRPr="00F904EF" w:rsidRDefault="009C3FEB" w:rsidP="00F904EF">
            <w:pPr>
              <w:jc w:val="both"/>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eastAsia="en-GB"/>
                <w14:ligatures w14:val="none"/>
              </w:rPr>
              <w:t xml:space="preserve">In this policy tool, </w:t>
            </w:r>
            <w:r w:rsidR="00F904EF">
              <w:rPr>
                <w:rFonts w:ascii="Calibri" w:eastAsia="Times New Roman" w:hAnsi="Calibri" w:cs="Calibri"/>
                <w:kern w:val="0"/>
                <w:lang w:eastAsia="en-GB"/>
                <w14:ligatures w14:val="none"/>
              </w:rPr>
              <w:t>GHG Emissions Offset</w:t>
            </w:r>
            <w:r w:rsidR="00496C14">
              <w:rPr>
                <w:rFonts w:ascii="Calibri" w:eastAsia="Times New Roman" w:hAnsi="Calibri" w:cs="Calibri"/>
                <w:kern w:val="0"/>
                <w:lang w:eastAsia="en-GB"/>
                <w14:ligatures w14:val="none"/>
              </w:rPr>
              <w:t xml:space="preserve"> have been regulated</w:t>
            </w:r>
            <w:r w:rsidR="00F904EF">
              <w:rPr>
                <w:rFonts w:ascii="Calibri" w:eastAsia="Times New Roman" w:hAnsi="Calibri" w:cs="Calibri"/>
                <w:kern w:val="0"/>
                <w:lang w:eastAsia="en-GB"/>
                <w14:ligatures w14:val="none"/>
              </w:rPr>
              <w:t xml:space="preserve">, </w:t>
            </w:r>
            <w:r w:rsidR="00496C14">
              <w:rPr>
                <w:rFonts w:ascii="Calibri" w:eastAsia="Times New Roman" w:hAnsi="Calibri" w:cs="Calibri"/>
                <w:kern w:val="0"/>
                <w:lang w:eastAsia="en-GB"/>
                <w14:ligatures w14:val="none"/>
              </w:rPr>
              <w:t>wherein such offsets are used as</w:t>
            </w:r>
            <w:r w:rsidRPr="009C3FEB">
              <w:rPr>
                <w:rFonts w:ascii="Calibri" w:eastAsia="Times New Roman" w:hAnsi="Calibri" w:cs="Calibri"/>
                <w:kern w:val="0"/>
                <w:lang w:eastAsia="en-GB"/>
                <w14:ligatures w14:val="none"/>
              </w:rPr>
              <w:t xml:space="preserve"> G</w:t>
            </w:r>
            <w:r w:rsidR="00F904EF">
              <w:rPr>
                <w:rFonts w:ascii="Calibri" w:eastAsia="Times New Roman" w:hAnsi="Calibri" w:cs="Calibri"/>
                <w:kern w:val="0"/>
                <w:lang w:eastAsia="en-GB"/>
                <w14:ligatures w14:val="none"/>
              </w:rPr>
              <w:t>HG</w:t>
            </w:r>
            <w:r w:rsidRPr="009C3FEB">
              <w:rPr>
                <w:rFonts w:ascii="Calibri" w:eastAsia="Times New Roman" w:hAnsi="Calibri" w:cs="Calibri"/>
                <w:kern w:val="0"/>
                <w:lang w:eastAsia="en-GB"/>
                <w14:ligatures w14:val="none"/>
              </w:rPr>
              <w:t xml:space="preserve"> Emissions reduction that</w:t>
            </w:r>
            <w:r w:rsidR="00F904EF">
              <w:rPr>
                <w:rFonts w:ascii="Calibri" w:eastAsia="Times New Roman" w:hAnsi="Calibri" w:cs="Calibri"/>
                <w:kern w:val="0"/>
                <w:lang w:eastAsia="en-GB"/>
                <w14:ligatures w14:val="none"/>
              </w:rPr>
              <w:t xml:space="preserve"> </w:t>
            </w:r>
            <w:r w:rsidRPr="009C3FEB">
              <w:rPr>
                <w:rFonts w:ascii="Calibri" w:eastAsia="Times New Roman" w:hAnsi="Calibri" w:cs="Calibri"/>
                <w:kern w:val="0"/>
                <w:lang w:eastAsia="en-GB"/>
                <w14:ligatures w14:val="none"/>
              </w:rPr>
              <w:t>is conducted by businesses and/or activities to</w:t>
            </w:r>
            <w:r w:rsidR="00F904EF">
              <w:rPr>
                <w:rFonts w:ascii="Calibri" w:eastAsia="Times New Roman" w:hAnsi="Calibri" w:cs="Calibri"/>
                <w:kern w:val="0"/>
                <w:lang w:eastAsia="en-GB"/>
                <w14:ligatures w14:val="none"/>
              </w:rPr>
              <w:t xml:space="preserve"> </w:t>
            </w:r>
            <w:r w:rsidRPr="009C3FEB">
              <w:rPr>
                <w:rFonts w:ascii="Calibri" w:eastAsia="Times New Roman" w:hAnsi="Calibri" w:cs="Calibri"/>
                <w:kern w:val="0"/>
                <w:lang w:eastAsia="en-GB"/>
                <w14:ligatures w14:val="none"/>
              </w:rPr>
              <w:t>compensate for emissions which are made in other places</w:t>
            </w:r>
            <w:r w:rsidR="00F904EF">
              <w:rPr>
                <w:rFonts w:ascii="Calibri" w:eastAsia="Times New Roman" w:hAnsi="Calibri" w:cs="Calibri"/>
                <w:kern w:val="0"/>
                <w:lang w:eastAsia="en-GB"/>
                <w14:ligatures w14:val="none"/>
              </w:rPr>
              <w:t xml:space="preserve"> (</w:t>
            </w:r>
            <w:r w:rsidR="00F904EF">
              <w:rPr>
                <w:rFonts w:ascii="Calibri" w:eastAsia="Times New Roman" w:hAnsi="Calibri" w:cs="Calibri"/>
                <w:i/>
                <w:iCs/>
                <w:kern w:val="0"/>
                <w:lang w:eastAsia="en-GB"/>
                <w14:ligatures w14:val="none"/>
              </w:rPr>
              <w:t xml:space="preserve">Article 1 point 14 of </w:t>
            </w:r>
            <w:r w:rsidR="00DB01D4">
              <w:rPr>
                <w:rFonts w:ascii="Calibri" w:eastAsia="Times New Roman" w:hAnsi="Calibri" w:cs="Calibri"/>
                <w:i/>
                <w:iCs/>
                <w:kern w:val="0"/>
                <w:lang w:eastAsia="en-GB"/>
                <w14:ligatures w14:val="none"/>
              </w:rPr>
              <w:t>Policy tool</w:t>
            </w:r>
            <w:r w:rsidR="00F904EF">
              <w:rPr>
                <w:rFonts w:ascii="Calibri" w:eastAsia="Times New Roman" w:hAnsi="Calibri" w:cs="Calibri"/>
                <w:kern w:val="0"/>
                <w:lang w:eastAsia="en-GB"/>
                <w14:ligatures w14:val="none"/>
              </w:rPr>
              <w:t xml:space="preserve">). </w:t>
            </w:r>
            <w:r w:rsidR="00F904EF" w:rsidRPr="00F904EF">
              <w:rPr>
                <w:rFonts w:ascii="Calibri" w:eastAsia="Times New Roman" w:hAnsi="Calibri" w:cs="Calibri"/>
                <w:kern w:val="0"/>
                <w:lang w:val="en-US" w:eastAsia="en-GB"/>
                <w14:ligatures w14:val="none"/>
              </w:rPr>
              <w:t xml:space="preserve">However, this policy </w:t>
            </w:r>
            <w:r w:rsidR="00F904EF" w:rsidRPr="00F904EF">
              <w:rPr>
                <w:rFonts w:ascii="Calibri" w:eastAsia="Times New Roman" w:hAnsi="Calibri" w:cs="Calibri"/>
                <w:kern w:val="0"/>
                <w:lang w:val="en-US" w:eastAsia="en-GB"/>
                <w14:ligatures w14:val="none"/>
              </w:rPr>
              <w:lastRenderedPageBreak/>
              <w:t>tool does not regulate the maximum proportion of emissions that an entity can offset by purchasing carbon credits.</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389C52FA" w:rsidR="002119B6" w:rsidRPr="00CF2E7C" w:rsidRDefault="007707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602809CD" w:rsidR="002119B6" w:rsidRPr="00CF2E7C" w:rsidRDefault="007707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EC2C91F" w14:textId="501A9568" w:rsidR="007707A3" w:rsidRDefault="007707A3" w:rsidP="007707A3">
            <w:pPr>
              <w:jc w:val="both"/>
              <w:textAlignment w:val="baseline"/>
              <w:rPr>
                <w:rFonts w:ascii="Calibri" w:eastAsia="Times New Roman" w:hAnsi="Calibri" w:cs="Calibri"/>
                <w:kern w:val="0"/>
                <w:lang w:val="en-US" w:eastAsia="en-GB"/>
                <w14:ligatures w14:val="none"/>
              </w:rPr>
            </w:pPr>
            <w:r w:rsidRPr="007707A3">
              <w:rPr>
                <w:rFonts w:ascii="Calibri" w:eastAsia="Times New Roman" w:hAnsi="Calibri" w:cs="Calibri"/>
                <w:kern w:val="0"/>
                <w:lang w:val="en-US" w:eastAsia="en-GB"/>
                <w14:ligatures w14:val="none"/>
              </w:rPr>
              <w:t>There are specific criteria related to GHG Emissions Offsets that must be considered in the preparation of a Carbon Trading roadmap, which should at least include</w:t>
            </w:r>
            <w:r>
              <w:rPr>
                <w:rFonts w:ascii="Calibri" w:eastAsia="Times New Roman" w:hAnsi="Calibri" w:cs="Calibri"/>
                <w:kern w:val="0"/>
                <w:lang w:val="en-US" w:eastAsia="en-GB"/>
                <w14:ligatures w14:val="none"/>
              </w:rPr>
              <w:t xml:space="preserve"> (</w:t>
            </w:r>
            <w:r>
              <w:rPr>
                <w:rFonts w:ascii="Calibri" w:eastAsia="Times New Roman" w:hAnsi="Calibri" w:cs="Calibri"/>
                <w:i/>
                <w:iCs/>
                <w:kern w:val="0"/>
                <w:lang w:val="en-US" w:eastAsia="en-GB"/>
                <w14:ligatures w14:val="none"/>
              </w:rPr>
              <w:t xml:space="preserve">Article 6 paragraph (2) of </w:t>
            </w:r>
            <w:r w:rsidR="00DB01D4">
              <w:rPr>
                <w:rFonts w:ascii="Calibri" w:eastAsia="Times New Roman" w:hAnsi="Calibri" w:cs="Calibri"/>
                <w:i/>
                <w:iCs/>
                <w:kern w:val="0"/>
                <w:lang w:val="en-US" w:eastAsia="en-GB"/>
                <w14:ligatures w14:val="none"/>
              </w:rPr>
              <w:t>Policy tool</w:t>
            </w:r>
            <w:r>
              <w:rPr>
                <w:rFonts w:ascii="Calibri" w:eastAsia="Times New Roman" w:hAnsi="Calibri" w:cs="Calibri"/>
                <w:kern w:val="0"/>
                <w:lang w:val="en-US" w:eastAsia="en-GB"/>
                <w14:ligatures w14:val="none"/>
              </w:rPr>
              <w:t>):</w:t>
            </w:r>
          </w:p>
          <w:p w14:paraId="3C1F6628" w14:textId="77777777" w:rsidR="007707A3" w:rsidRDefault="007707A3" w:rsidP="007707A3">
            <w:pPr>
              <w:pStyle w:val="ListParagraph"/>
              <w:numPr>
                <w:ilvl w:val="0"/>
                <w:numId w:val="55"/>
              </w:numPr>
              <w:jc w:val="both"/>
              <w:textAlignment w:val="baseline"/>
              <w:rPr>
                <w:rFonts w:ascii="Calibri" w:eastAsia="Times New Roman" w:hAnsi="Calibri" w:cs="Calibri"/>
                <w:kern w:val="0"/>
                <w:lang w:val="en-US" w:eastAsia="en-GB"/>
                <w14:ligatures w14:val="none"/>
              </w:rPr>
            </w:pPr>
            <w:r w:rsidRPr="007707A3">
              <w:rPr>
                <w:rFonts w:ascii="Calibri" w:eastAsia="Times New Roman" w:hAnsi="Calibri" w:cs="Calibri"/>
                <w:kern w:val="0"/>
                <w:lang w:val="en-US" w:eastAsia="en-GB"/>
                <w14:ligatures w14:val="none"/>
              </w:rPr>
              <w:t>plans and strategies for the achievement of NDC targets in Sectors or Sub-Sectors;</w:t>
            </w:r>
          </w:p>
          <w:p w14:paraId="00058D44" w14:textId="77777777" w:rsidR="007707A3" w:rsidRDefault="007707A3" w:rsidP="007707A3">
            <w:pPr>
              <w:pStyle w:val="ListParagraph"/>
              <w:numPr>
                <w:ilvl w:val="0"/>
                <w:numId w:val="55"/>
              </w:numPr>
              <w:jc w:val="both"/>
              <w:textAlignment w:val="baseline"/>
              <w:rPr>
                <w:rFonts w:ascii="Calibri" w:eastAsia="Times New Roman" w:hAnsi="Calibri" w:cs="Calibri"/>
                <w:kern w:val="0"/>
                <w:lang w:val="en-US" w:eastAsia="en-GB"/>
                <w14:ligatures w14:val="none"/>
              </w:rPr>
            </w:pPr>
            <w:r w:rsidRPr="007707A3">
              <w:rPr>
                <w:rFonts w:ascii="Calibri" w:eastAsia="Times New Roman" w:hAnsi="Calibri" w:cs="Calibri"/>
                <w:kern w:val="0"/>
                <w:lang w:val="en-US" w:eastAsia="en-GB"/>
                <w14:ligatures w14:val="none"/>
              </w:rPr>
              <w:t>targets of GRK Emissions Offsets;</w:t>
            </w:r>
          </w:p>
          <w:p w14:paraId="6210CA5A" w14:textId="77777777" w:rsidR="007707A3" w:rsidRDefault="007707A3" w:rsidP="007707A3">
            <w:pPr>
              <w:pStyle w:val="ListParagraph"/>
              <w:numPr>
                <w:ilvl w:val="0"/>
                <w:numId w:val="55"/>
              </w:numPr>
              <w:jc w:val="both"/>
              <w:textAlignment w:val="baseline"/>
              <w:rPr>
                <w:rFonts w:ascii="Calibri" w:eastAsia="Times New Roman" w:hAnsi="Calibri" w:cs="Calibri"/>
                <w:kern w:val="0"/>
                <w:lang w:val="en-US" w:eastAsia="en-GB"/>
                <w14:ligatures w14:val="none"/>
              </w:rPr>
            </w:pPr>
            <w:r w:rsidRPr="007707A3">
              <w:rPr>
                <w:rFonts w:ascii="Calibri" w:eastAsia="Times New Roman" w:hAnsi="Calibri" w:cs="Calibri"/>
                <w:kern w:val="0"/>
                <w:lang w:val="en-US" w:eastAsia="en-GB"/>
                <w14:ligatures w14:val="none"/>
              </w:rPr>
              <w:t>preparation of GRK Emissions Baselines and emission reduction targets for Business Actors;</w:t>
            </w:r>
          </w:p>
          <w:p w14:paraId="5EB9854B" w14:textId="77777777" w:rsidR="007707A3" w:rsidRDefault="007707A3" w:rsidP="007707A3">
            <w:pPr>
              <w:pStyle w:val="ListParagraph"/>
              <w:numPr>
                <w:ilvl w:val="0"/>
                <w:numId w:val="55"/>
              </w:numPr>
              <w:jc w:val="both"/>
              <w:textAlignment w:val="baseline"/>
              <w:rPr>
                <w:rFonts w:ascii="Calibri" w:eastAsia="Times New Roman" w:hAnsi="Calibri" w:cs="Calibri"/>
                <w:kern w:val="0"/>
                <w:lang w:val="en-US" w:eastAsia="en-GB"/>
                <w14:ligatures w14:val="none"/>
              </w:rPr>
            </w:pPr>
            <w:r w:rsidRPr="007707A3">
              <w:rPr>
                <w:rFonts w:ascii="Calibri" w:eastAsia="Times New Roman" w:hAnsi="Calibri" w:cs="Calibri"/>
                <w:kern w:val="0"/>
                <w:lang w:val="en-US" w:eastAsia="en-GB"/>
                <w14:ligatures w14:val="none"/>
              </w:rPr>
              <w:t>determination of GRK Emissions Baselines and emission reduction targets for Business</w:t>
            </w:r>
            <w:r>
              <w:rPr>
                <w:rFonts w:ascii="Calibri" w:eastAsia="Times New Roman" w:hAnsi="Calibri" w:cs="Calibri"/>
                <w:kern w:val="0"/>
                <w:lang w:val="en-US" w:eastAsia="en-GB"/>
                <w14:ligatures w14:val="none"/>
              </w:rPr>
              <w:t xml:space="preserve"> </w:t>
            </w:r>
            <w:r w:rsidRPr="007707A3">
              <w:rPr>
                <w:rFonts w:ascii="Calibri" w:eastAsia="Times New Roman" w:hAnsi="Calibri" w:cs="Calibri"/>
                <w:kern w:val="0"/>
                <w:lang w:val="en-US" w:eastAsia="en-GB"/>
                <w14:ligatures w14:val="none"/>
              </w:rPr>
              <w:t>Actors;</w:t>
            </w:r>
          </w:p>
          <w:p w14:paraId="1523DE1E" w14:textId="77777777" w:rsidR="007707A3" w:rsidRDefault="007707A3" w:rsidP="007707A3">
            <w:pPr>
              <w:pStyle w:val="ListParagraph"/>
              <w:numPr>
                <w:ilvl w:val="0"/>
                <w:numId w:val="55"/>
              </w:numPr>
              <w:jc w:val="both"/>
              <w:textAlignment w:val="baseline"/>
              <w:rPr>
                <w:rFonts w:ascii="Calibri" w:eastAsia="Times New Roman" w:hAnsi="Calibri" w:cs="Calibri"/>
                <w:kern w:val="0"/>
                <w:lang w:val="en-US" w:eastAsia="en-GB"/>
                <w14:ligatures w14:val="none"/>
              </w:rPr>
            </w:pPr>
            <w:r w:rsidRPr="007707A3">
              <w:rPr>
                <w:rFonts w:ascii="Calibri" w:eastAsia="Times New Roman" w:hAnsi="Calibri" w:cs="Calibri"/>
                <w:kern w:val="0"/>
                <w:lang w:val="en-US" w:eastAsia="en-GB"/>
                <w14:ligatures w14:val="none"/>
              </w:rPr>
              <w:t>periods for GRK Emissions Offsets;</w:t>
            </w:r>
          </w:p>
          <w:p w14:paraId="4E3F8D69" w14:textId="77777777" w:rsidR="007707A3" w:rsidRDefault="007707A3" w:rsidP="007707A3">
            <w:pPr>
              <w:pStyle w:val="ListParagraph"/>
              <w:numPr>
                <w:ilvl w:val="0"/>
                <w:numId w:val="55"/>
              </w:numPr>
              <w:jc w:val="both"/>
              <w:textAlignment w:val="baseline"/>
              <w:rPr>
                <w:rFonts w:ascii="Calibri" w:eastAsia="Times New Roman" w:hAnsi="Calibri" w:cs="Calibri"/>
                <w:kern w:val="0"/>
                <w:lang w:val="en-US" w:eastAsia="en-GB"/>
                <w14:ligatures w14:val="none"/>
              </w:rPr>
            </w:pPr>
            <w:r w:rsidRPr="007707A3">
              <w:rPr>
                <w:rFonts w:ascii="Calibri" w:eastAsia="Times New Roman" w:hAnsi="Calibri" w:cs="Calibri"/>
                <w:kern w:val="0"/>
                <w:lang w:val="en-US" w:eastAsia="en-GB"/>
                <w14:ligatures w14:val="none"/>
              </w:rPr>
              <w:t>Compliance Periods for performance measurement of GRK Emissions reduction;</w:t>
            </w:r>
          </w:p>
          <w:p w14:paraId="2CF7FF7F" w14:textId="77777777" w:rsidR="007707A3" w:rsidRDefault="007707A3" w:rsidP="007707A3">
            <w:pPr>
              <w:pStyle w:val="ListParagraph"/>
              <w:numPr>
                <w:ilvl w:val="0"/>
                <w:numId w:val="55"/>
              </w:numPr>
              <w:jc w:val="both"/>
              <w:textAlignment w:val="baseline"/>
              <w:rPr>
                <w:rFonts w:ascii="Calibri" w:eastAsia="Times New Roman" w:hAnsi="Calibri" w:cs="Calibri"/>
                <w:kern w:val="0"/>
                <w:lang w:val="en-US" w:eastAsia="en-GB"/>
                <w14:ligatures w14:val="none"/>
              </w:rPr>
            </w:pPr>
            <w:r w:rsidRPr="007707A3">
              <w:rPr>
                <w:rFonts w:ascii="Calibri" w:eastAsia="Times New Roman" w:hAnsi="Calibri" w:cs="Calibri"/>
                <w:kern w:val="0"/>
                <w:lang w:val="en-US" w:eastAsia="en-GB"/>
                <w14:ligatures w14:val="none"/>
              </w:rPr>
              <w:t>strategies for domestic and foreign trading of GRK Emissions Offsets which shall at least</w:t>
            </w:r>
            <w:r>
              <w:rPr>
                <w:rFonts w:ascii="Calibri" w:eastAsia="Times New Roman" w:hAnsi="Calibri" w:cs="Calibri"/>
                <w:kern w:val="0"/>
                <w:lang w:val="en-US" w:eastAsia="en-GB"/>
                <w14:ligatures w14:val="none"/>
              </w:rPr>
              <w:t xml:space="preserve"> </w:t>
            </w:r>
            <w:r w:rsidRPr="007707A3">
              <w:rPr>
                <w:rFonts w:ascii="Calibri" w:eastAsia="Times New Roman" w:hAnsi="Calibri" w:cs="Calibri"/>
                <w:kern w:val="0"/>
                <w:lang w:val="en-US" w:eastAsia="en-GB"/>
                <w14:ligatures w14:val="none"/>
              </w:rPr>
              <w:t>include the potential and timing of the trading of GRK Emissions Offsets; and</w:t>
            </w:r>
          </w:p>
          <w:p w14:paraId="6320D841" w14:textId="5A0D28FE" w:rsidR="007707A3" w:rsidRPr="007707A3" w:rsidRDefault="007707A3" w:rsidP="007707A3">
            <w:pPr>
              <w:pStyle w:val="ListParagraph"/>
              <w:numPr>
                <w:ilvl w:val="0"/>
                <w:numId w:val="55"/>
              </w:numPr>
              <w:jc w:val="both"/>
              <w:textAlignment w:val="baseline"/>
              <w:rPr>
                <w:rFonts w:ascii="Calibri" w:eastAsia="Times New Roman" w:hAnsi="Calibri" w:cs="Calibri"/>
                <w:kern w:val="0"/>
                <w:lang w:val="en-US" w:eastAsia="en-GB"/>
                <w14:ligatures w14:val="none"/>
              </w:rPr>
            </w:pPr>
            <w:r w:rsidRPr="007707A3">
              <w:rPr>
                <w:rFonts w:ascii="Calibri" w:eastAsia="Times New Roman" w:hAnsi="Calibri" w:cs="Calibri"/>
                <w:kern w:val="0"/>
                <w:lang w:val="en-US" w:eastAsia="en-GB"/>
                <w14:ligatures w14:val="none"/>
              </w:rPr>
              <w:t>harmonization with other mechanisms for implementation of the organization of NEK to avoid</w:t>
            </w:r>
            <w:r>
              <w:rPr>
                <w:rFonts w:ascii="Calibri" w:eastAsia="Times New Roman" w:hAnsi="Calibri" w:cs="Calibri"/>
                <w:kern w:val="0"/>
                <w:lang w:val="en-US" w:eastAsia="en-GB"/>
                <w14:ligatures w14:val="none"/>
              </w:rPr>
              <w:t xml:space="preserve"> </w:t>
            </w:r>
            <w:r w:rsidRPr="007707A3">
              <w:rPr>
                <w:rFonts w:ascii="Calibri" w:eastAsia="Times New Roman" w:hAnsi="Calibri" w:cs="Calibri"/>
                <w:kern w:val="0"/>
                <w:lang w:val="en-US" w:eastAsia="en-GB"/>
                <w14:ligatures w14:val="none"/>
              </w:rPr>
              <w:t>double counting and double payments</w:t>
            </w:r>
            <w:r>
              <w:rPr>
                <w:rFonts w:ascii="Calibri" w:eastAsia="Times New Roman" w:hAnsi="Calibri" w:cs="Calibri"/>
                <w:kern w:val="0"/>
                <w:lang w:val="en-US" w:eastAsia="en-GB"/>
                <w14:ligatures w14:val="none"/>
              </w:rPr>
              <w:t>.</w:t>
            </w:r>
          </w:p>
          <w:p w14:paraId="153D276A" w14:textId="2E5A718C"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1A665760" w:rsidR="00FE7FA5" w:rsidRPr="00CF2E7C" w:rsidRDefault="00404C0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6332C8F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295F2A4E"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2E5412A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04C01">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6A5B8A1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C01">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23B506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C01">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54CDB23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C01">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688890D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C01">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5A29EAC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C01">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1105D3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C01">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3E2ED2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C01">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4E11FD4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C01">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232EC35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C01">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5407E68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C01">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4E2466D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C01">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6589579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C01">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60F1F2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C01">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3CED3C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C01">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3A06644C" w:rsidR="00FE7FA5" w:rsidRPr="009C4D10" w:rsidRDefault="00404C01"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4289BC" w:rsidR="00FE7FA5" w:rsidRPr="009C4D10" w:rsidRDefault="00404C01"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13B753B0" w:rsidR="00FE7FA5" w:rsidRPr="009C4D10" w:rsidRDefault="00270C8C" w:rsidP="00175C25">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provisions related to Bilateral Trading of Internationally Transferred Mitigation Outcomes (ITMOs) and Paris Agreement Crediting Mechanism, are specifically stipulated in Articles 18 – 22 of </w:t>
            </w:r>
            <w:r w:rsidR="00DB01D4">
              <w:rPr>
                <w:rFonts w:eastAsia="Times New Roman" w:cstheme="minorHAnsi"/>
                <w:kern w:val="0"/>
                <w:lang w:eastAsia="en-GB"/>
                <w14:ligatures w14:val="none"/>
              </w:rPr>
              <w:t>Policy tool</w:t>
            </w:r>
            <w:r>
              <w:rPr>
                <w:rFonts w:eastAsia="Times New Roman" w:cstheme="minorHAnsi"/>
                <w:kern w:val="0"/>
                <w:lang w:eastAsia="en-GB"/>
                <w14:ligatures w14:val="none"/>
              </w:rPr>
              <w:t xml:space="preserve">, as well as </w:t>
            </w:r>
            <w:r w:rsidR="00DB01D4">
              <w:rPr>
                <w:rFonts w:eastAsia="Times New Roman" w:cstheme="minorHAnsi"/>
                <w:kern w:val="0"/>
                <w:lang w:eastAsia="en-GB"/>
                <w14:ligatures w14:val="none"/>
              </w:rPr>
              <w:t>Policy tool</w:t>
            </w:r>
            <w:r>
              <w:rPr>
                <w:rFonts w:eastAsia="Times New Roman" w:cstheme="minorHAnsi"/>
                <w:kern w:val="0"/>
                <w:lang w:eastAsia="en-GB"/>
                <w14:ligatures w14:val="none"/>
              </w:rPr>
              <w:t xml:space="preserve"> Appendix I regarding </w:t>
            </w:r>
            <w:r w:rsidR="00175C25">
              <w:rPr>
                <w:rFonts w:eastAsia="Times New Roman" w:cstheme="minorHAnsi"/>
                <w:kern w:val="0"/>
                <w:lang w:eastAsia="en-GB"/>
                <w14:ligatures w14:val="none"/>
              </w:rPr>
              <w:t>Approval Letter Format for International Cooperation Under Paris Agreement.</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073B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073B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889331" w14:textId="77777777" w:rsidR="00217153" w:rsidRDefault="00217153" w:rsidP="00874E39">
      <w:r>
        <w:separator/>
      </w:r>
    </w:p>
  </w:endnote>
  <w:endnote w:type="continuationSeparator" w:id="0">
    <w:p w14:paraId="1CEF290A" w14:textId="77777777" w:rsidR="00217153" w:rsidRDefault="00217153" w:rsidP="00874E39">
      <w:r>
        <w:continuationSeparator/>
      </w:r>
    </w:p>
  </w:endnote>
  <w:endnote w:type="continuationNotice" w:id="1">
    <w:p w14:paraId="6A7BBFFB" w14:textId="77777777" w:rsidR="00217153" w:rsidRDefault="002171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9BD789" w14:textId="77777777" w:rsidR="00217153" w:rsidRDefault="00217153" w:rsidP="00874E39">
      <w:r>
        <w:separator/>
      </w:r>
    </w:p>
  </w:footnote>
  <w:footnote w:type="continuationSeparator" w:id="0">
    <w:p w14:paraId="4F14C61A" w14:textId="77777777" w:rsidR="00217153" w:rsidRDefault="00217153" w:rsidP="00874E39">
      <w:r>
        <w:continuationSeparator/>
      </w:r>
    </w:p>
  </w:footnote>
  <w:footnote w:type="continuationNotice" w:id="1">
    <w:p w14:paraId="16887E3A" w14:textId="77777777" w:rsidR="00217153" w:rsidRDefault="0021715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00057D4"/>
    <w:multiLevelType w:val="hybridMultilevel"/>
    <w:tmpl w:val="4C501D28"/>
    <w:lvl w:ilvl="0" w:tplc="FFFFFFFF">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237A9D"/>
    <w:multiLevelType w:val="hybridMultilevel"/>
    <w:tmpl w:val="4EC8B38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97163F2"/>
    <w:multiLevelType w:val="hybridMultilevel"/>
    <w:tmpl w:val="EECCC60C"/>
    <w:lvl w:ilvl="0" w:tplc="FFFFFFFF">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3C041BE7"/>
    <w:multiLevelType w:val="hybridMultilevel"/>
    <w:tmpl w:val="57E2CE6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B6A1A"/>
    <w:multiLevelType w:val="hybridMultilevel"/>
    <w:tmpl w:val="998AB27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3072C67"/>
    <w:multiLevelType w:val="hybridMultilevel"/>
    <w:tmpl w:val="4EC8B38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4" w15:restartNumberingAfterBreak="0">
    <w:nsid w:val="7E0257FD"/>
    <w:multiLevelType w:val="hybridMultilevel"/>
    <w:tmpl w:val="87B228AC"/>
    <w:lvl w:ilvl="0" w:tplc="FFFFFFFF">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680666882">
    <w:abstractNumId w:val="18"/>
  </w:num>
  <w:num w:numId="2" w16cid:durableId="482308869">
    <w:abstractNumId w:val="27"/>
  </w:num>
  <w:num w:numId="3" w16cid:durableId="690952733">
    <w:abstractNumId w:val="46"/>
  </w:num>
  <w:num w:numId="4" w16cid:durableId="1689330127">
    <w:abstractNumId w:val="1"/>
  </w:num>
  <w:num w:numId="5" w16cid:durableId="401291788">
    <w:abstractNumId w:val="32"/>
  </w:num>
  <w:num w:numId="6" w16cid:durableId="1276788690">
    <w:abstractNumId w:val="14"/>
  </w:num>
  <w:num w:numId="7" w16cid:durableId="566767730">
    <w:abstractNumId w:val="23"/>
  </w:num>
  <w:num w:numId="8" w16cid:durableId="1780710843">
    <w:abstractNumId w:val="39"/>
  </w:num>
  <w:num w:numId="9" w16cid:durableId="1685783054">
    <w:abstractNumId w:val="3"/>
  </w:num>
  <w:num w:numId="10" w16cid:durableId="950551298">
    <w:abstractNumId w:val="36"/>
  </w:num>
  <w:num w:numId="11" w16cid:durableId="1591960799">
    <w:abstractNumId w:val="53"/>
  </w:num>
  <w:num w:numId="12" w16cid:durableId="1344891410">
    <w:abstractNumId w:val="9"/>
  </w:num>
  <w:num w:numId="13" w16cid:durableId="2023899324">
    <w:abstractNumId w:val="12"/>
  </w:num>
  <w:num w:numId="14" w16cid:durableId="430587014">
    <w:abstractNumId w:val="7"/>
  </w:num>
  <w:num w:numId="15" w16cid:durableId="1742869061">
    <w:abstractNumId w:val="34"/>
  </w:num>
  <w:num w:numId="16" w16cid:durableId="1996450437">
    <w:abstractNumId w:val="21"/>
  </w:num>
  <w:num w:numId="17" w16cid:durableId="1529031027">
    <w:abstractNumId w:val="8"/>
  </w:num>
  <w:num w:numId="18" w16cid:durableId="568614617">
    <w:abstractNumId w:val="19"/>
  </w:num>
  <w:num w:numId="19" w16cid:durableId="1530605858">
    <w:abstractNumId w:val="47"/>
  </w:num>
  <w:num w:numId="20" w16cid:durableId="1328172586">
    <w:abstractNumId w:val="16"/>
  </w:num>
  <w:num w:numId="21" w16cid:durableId="184827816">
    <w:abstractNumId w:val="31"/>
  </w:num>
  <w:num w:numId="22" w16cid:durableId="1785346599">
    <w:abstractNumId w:val="38"/>
  </w:num>
  <w:num w:numId="23" w16cid:durableId="1294288901">
    <w:abstractNumId w:val="30"/>
  </w:num>
  <w:num w:numId="24" w16cid:durableId="1603957975">
    <w:abstractNumId w:val="49"/>
  </w:num>
  <w:num w:numId="25" w16cid:durableId="1659531047">
    <w:abstractNumId w:val="48"/>
  </w:num>
  <w:num w:numId="26" w16cid:durableId="752774403">
    <w:abstractNumId w:val="26"/>
  </w:num>
  <w:num w:numId="27" w16cid:durableId="347872198">
    <w:abstractNumId w:val="6"/>
  </w:num>
  <w:num w:numId="28" w16cid:durableId="537133110">
    <w:abstractNumId w:val="13"/>
  </w:num>
  <w:num w:numId="29" w16cid:durableId="1632318729">
    <w:abstractNumId w:val="50"/>
  </w:num>
  <w:num w:numId="30" w16cid:durableId="1268124074">
    <w:abstractNumId w:val="37"/>
  </w:num>
  <w:num w:numId="31" w16cid:durableId="887108748">
    <w:abstractNumId w:val="33"/>
  </w:num>
  <w:num w:numId="32" w16cid:durableId="1826125712">
    <w:abstractNumId w:val="40"/>
  </w:num>
  <w:num w:numId="33" w16cid:durableId="823357978">
    <w:abstractNumId w:val="44"/>
  </w:num>
  <w:num w:numId="34" w16cid:durableId="1092120443">
    <w:abstractNumId w:val="43"/>
  </w:num>
  <w:num w:numId="35" w16cid:durableId="124861188">
    <w:abstractNumId w:val="11"/>
  </w:num>
  <w:num w:numId="36" w16cid:durableId="1952588250">
    <w:abstractNumId w:val="42"/>
  </w:num>
  <w:num w:numId="37" w16cid:durableId="1712027211">
    <w:abstractNumId w:val="4"/>
  </w:num>
  <w:num w:numId="38" w16cid:durableId="2033795929">
    <w:abstractNumId w:val="2"/>
  </w:num>
  <w:num w:numId="39" w16cid:durableId="1238595582">
    <w:abstractNumId w:val="28"/>
  </w:num>
  <w:num w:numId="40" w16cid:durableId="416558262">
    <w:abstractNumId w:val="24"/>
  </w:num>
  <w:num w:numId="41" w16cid:durableId="1543715517">
    <w:abstractNumId w:val="20"/>
  </w:num>
  <w:num w:numId="42" w16cid:durableId="452208391">
    <w:abstractNumId w:val="15"/>
  </w:num>
  <w:num w:numId="43" w16cid:durableId="260340070">
    <w:abstractNumId w:val="0"/>
  </w:num>
  <w:num w:numId="44" w16cid:durableId="1639914969">
    <w:abstractNumId w:val="5"/>
  </w:num>
  <w:num w:numId="45" w16cid:durableId="1554191892">
    <w:abstractNumId w:val="45"/>
  </w:num>
  <w:num w:numId="46" w16cid:durableId="947811845">
    <w:abstractNumId w:val="52"/>
  </w:num>
  <w:num w:numId="47" w16cid:durableId="342588554">
    <w:abstractNumId w:val="29"/>
  </w:num>
  <w:num w:numId="48" w16cid:durableId="318391343">
    <w:abstractNumId w:val="41"/>
  </w:num>
  <w:num w:numId="49" w16cid:durableId="1877696909">
    <w:abstractNumId w:val="17"/>
  </w:num>
  <w:num w:numId="50" w16cid:durableId="432434303">
    <w:abstractNumId w:val="25"/>
  </w:num>
  <w:num w:numId="51" w16cid:durableId="830370659">
    <w:abstractNumId w:val="35"/>
  </w:num>
  <w:num w:numId="52" w16cid:durableId="724792105">
    <w:abstractNumId w:val="51"/>
  </w:num>
  <w:num w:numId="53" w16cid:durableId="982539977">
    <w:abstractNumId w:val="54"/>
  </w:num>
  <w:num w:numId="54" w16cid:durableId="719592169">
    <w:abstractNumId w:val="10"/>
  </w:num>
  <w:num w:numId="55" w16cid:durableId="1157766413">
    <w:abstractNumId w:val="2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87766"/>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3BA"/>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624E"/>
    <w:rsid w:val="00166D7D"/>
    <w:rsid w:val="00172B85"/>
    <w:rsid w:val="00173D7C"/>
    <w:rsid w:val="0017449C"/>
    <w:rsid w:val="001749C3"/>
    <w:rsid w:val="00175C25"/>
    <w:rsid w:val="00176011"/>
    <w:rsid w:val="0017734A"/>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A78C1"/>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4215"/>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1C1D"/>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153"/>
    <w:rsid w:val="0021729E"/>
    <w:rsid w:val="00220F36"/>
    <w:rsid w:val="00222757"/>
    <w:rsid w:val="00222DFA"/>
    <w:rsid w:val="00222E01"/>
    <w:rsid w:val="0022414E"/>
    <w:rsid w:val="00224D9E"/>
    <w:rsid w:val="00226338"/>
    <w:rsid w:val="0023001C"/>
    <w:rsid w:val="002303CF"/>
    <w:rsid w:val="00230961"/>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5CF"/>
    <w:rsid w:val="00246630"/>
    <w:rsid w:val="00247DE7"/>
    <w:rsid w:val="002500FA"/>
    <w:rsid w:val="00250ED8"/>
    <w:rsid w:val="00250F54"/>
    <w:rsid w:val="0025129B"/>
    <w:rsid w:val="00253701"/>
    <w:rsid w:val="0025449C"/>
    <w:rsid w:val="002552C9"/>
    <w:rsid w:val="0025765F"/>
    <w:rsid w:val="00257732"/>
    <w:rsid w:val="00264CBC"/>
    <w:rsid w:val="0026588F"/>
    <w:rsid w:val="0026642F"/>
    <w:rsid w:val="002679A5"/>
    <w:rsid w:val="0027067C"/>
    <w:rsid w:val="00270A4D"/>
    <w:rsid w:val="00270C8C"/>
    <w:rsid w:val="00272D9A"/>
    <w:rsid w:val="002737EF"/>
    <w:rsid w:val="00274335"/>
    <w:rsid w:val="00274864"/>
    <w:rsid w:val="00274B22"/>
    <w:rsid w:val="00277FC5"/>
    <w:rsid w:val="00280E8B"/>
    <w:rsid w:val="00284ADD"/>
    <w:rsid w:val="00285DA7"/>
    <w:rsid w:val="00286683"/>
    <w:rsid w:val="00286FE0"/>
    <w:rsid w:val="002878A1"/>
    <w:rsid w:val="002912CD"/>
    <w:rsid w:val="0029175C"/>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3FB"/>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915"/>
    <w:rsid w:val="00393BA9"/>
    <w:rsid w:val="00395922"/>
    <w:rsid w:val="0039625A"/>
    <w:rsid w:val="003A0C73"/>
    <w:rsid w:val="003A144F"/>
    <w:rsid w:val="003A2976"/>
    <w:rsid w:val="003A2E5E"/>
    <w:rsid w:val="003A33FF"/>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4C01"/>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1E7"/>
    <w:rsid w:val="00425FEF"/>
    <w:rsid w:val="00426919"/>
    <w:rsid w:val="00427085"/>
    <w:rsid w:val="00427D5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C24"/>
    <w:rsid w:val="00444D51"/>
    <w:rsid w:val="004474C7"/>
    <w:rsid w:val="00450AD7"/>
    <w:rsid w:val="00450C15"/>
    <w:rsid w:val="004514AB"/>
    <w:rsid w:val="00452BFF"/>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6C14"/>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B31"/>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1277"/>
    <w:rsid w:val="005923CF"/>
    <w:rsid w:val="00592CDE"/>
    <w:rsid w:val="005938A6"/>
    <w:rsid w:val="00593C2C"/>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4EE"/>
    <w:rsid w:val="0060224F"/>
    <w:rsid w:val="00602D74"/>
    <w:rsid w:val="0060378D"/>
    <w:rsid w:val="00603B3F"/>
    <w:rsid w:val="00604B29"/>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B1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0"/>
    <w:rsid w:val="0067532A"/>
    <w:rsid w:val="00675752"/>
    <w:rsid w:val="00676A71"/>
    <w:rsid w:val="006770B7"/>
    <w:rsid w:val="006801E4"/>
    <w:rsid w:val="00683A9D"/>
    <w:rsid w:val="00683DB5"/>
    <w:rsid w:val="00685A4F"/>
    <w:rsid w:val="006878AC"/>
    <w:rsid w:val="00690B2A"/>
    <w:rsid w:val="006936EF"/>
    <w:rsid w:val="0069417C"/>
    <w:rsid w:val="006943E9"/>
    <w:rsid w:val="00695F64"/>
    <w:rsid w:val="00696548"/>
    <w:rsid w:val="00696D68"/>
    <w:rsid w:val="006A00E0"/>
    <w:rsid w:val="006A103A"/>
    <w:rsid w:val="006A1ACF"/>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AC8"/>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01C"/>
    <w:rsid w:val="006D43AA"/>
    <w:rsid w:val="006D4C70"/>
    <w:rsid w:val="006D5605"/>
    <w:rsid w:val="006E114C"/>
    <w:rsid w:val="006E18FD"/>
    <w:rsid w:val="006E1DD2"/>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0F1"/>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7A3"/>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1AB"/>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10C"/>
    <w:rsid w:val="007B72B3"/>
    <w:rsid w:val="007B7633"/>
    <w:rsid w:val="007B7DEE"/>
    <w:rsid w:val="007B7FD7"/>
    <w:rsid w:val="007C2EAF"/>
    <w:rsid w:val="007C32D8"/>
    <w:rsid w:val="007C3BD3"/>
    <w:rsid w:val="007C3CB6"/>
    <w:rsid w:val="007C44F9"/>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3BFA"/>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203D"/>
    <w:rsid w:val="008247E4"/>
    <w:rsid w:val="0082488A"/>
    <w:rsid w:val="0082674B"/>
    <w:rsid w:val="00827040"/>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6F8B"/>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7387"/>
    <w:rsid w:val="0087096F"/>
    <w:rsid w:val="008709CF"/>
    <w:rsid w:val="00872A9A"/>
    <w:rsid w:val="008732CE"/>
    <w:rsid w:val="00873705"/>
    <w:rsid w:val="0087393B"/>
    <w:rsid w:val="008747C8"/>
    <w:rsid w:val="00874E39"/>
    <w:rsid w:val="008766C1"/>
    <w:rsid w:val="0087788F"/>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B82"/>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4F1"/>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174"/>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107"/>
    <w:rsid w:val="00926863"/>
    <w:rsid w:val="00926D7F"/>
    <w:rsid w:val="00930268"/>
    <w:rsid w:val="009307C9"/>
    <w:rsid w:val="0093086E"/>
    <w:rsid w:val="00931681"/>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158"/>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78D1"/>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3FEB"/>
    <w:rsid w:val="009C4798"/>
    <w:rsid w:val="009C4A32"/>
    <w:rsid w:val="009C4D10"/>
    <w:rsid w:val="009C5B4F"/>
    <w:rsid w:val="009C5CDD"/>
    <w:rsid w:val="009C67FA"/>
    <w:rsid w:val="009C6906"/>
    <w:rsid w:val="009D1847"/>
    <w:rsid w:val="009D1954"/>
    <w:rsid w:val="009D1965"/>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058D"/>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810"/>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4658"/>
    <w:rsid w:val="00BB58AA"/>
    <w:rsid w:val="00BB667C"/>
    <w:rsid w:val="00BB7964"/>
    <w:rsid w:val="00BC0309"/>
    <w:rsid w:val="00BC0693"/>
    <w:rsid w:val="00BC1037"/>
    <w:rsid w:val="00BC2F0B"/>
    <w:rsid w:val="00BC3206"/>
    <w:rsid w:val="00BC4832"/>
    <w:rsid w:val="00BC5451"/>
    <w:rsid w:val="00BC5744"/>
    <w:rsid w:val="00BC5B8A"/>
    <w:rsid w:val="00BD1613"/>
    <w:rsid w:val="00BD3AB4"/>
    <w:rsid w:val="00BD470F"/>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2F6A"/>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7F43"/>
    <w:rsid w:val="00D004AD"/>
    <w:rsid w:val="00D01B92"/>
    <w:rsid w:val="00D02935"/>
    <w:rsid w:val="00D02C80"/>
    <w:rsid w:val="00D02FA1"/>
    <w:rsid w:val="00D056E9"/>
    <w:rsid w:val="00D07A89"/>
    <w:rsid w:val="00D122DD"/>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1D4"/>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55C7"/>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2B8"/>
    <w:rsid w:val="00E11ECB"/>
    <w:rsid w:val="00E11F06"/>
    <w:rsid w:val="00E121D3"/>
    <w:rsid w:val="00E122B2"/>
    <w:rsid w:val="00E12745"/>
    <w:rsid w:val="00E12B4B"/>
    <w:rsid w:val="00E139A9"/>
    <w:rsid w:val="00E1559F"/>
    <w:rsid w:val="00E15DD2"/>
    <w:rsid w:val="00E15F51"/>
    <w:rsid w:val="00E17530"/>
    <w:rsid w:val="00E17A58"/>
    <w:rsid w:val="00E17EE6"/>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ED"/>
    <w:rsid w:val="00E35D2E"/>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337"/>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0E29"/>
    <w:rsid w:val="00EA164F"/>
    <w:rsid w:val="00EA1CEC"/>
    <w:rsid w:val="00EA1D6A"/>
    <w:rsid w:val="00EA38F1"/>
    <w:rsid w:val="00EA4912"/>
    <w:rsid w:val="00EA4E12"/>
    <w:rsid w:val="00EA5D38"/>
    <w:rsid w:val="00EA6392"/>
    <w:rsid w:val="00EA65D9"/>
    <w:rsid w:val="00EA67B3"/>
    <w:rsid w:val="00EA6EB0"/>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7C48"/>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358D"/>
    <w:rsid w:val="00F33FF4"/>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4EF"/>
    <w:rsid w:val="00F909A2"/>
    <w:rsid w:val="00F90B02"/>
    <w:rsid w:val="00F921FF"/>
    <w:rsid w:val="00F9270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3ABD"/>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5CFD"/>
    <w:rsid w:val="00FE6453"/>
    <w:rsid w:val="00FE66B1"/>
    <w:rsid w:val="00FE7713"/>
    <w:rsid w:val="00FE7C66"/>
    <w:rsid w:val="00FE7FA5"/>
    <w:rsid w:val="00FE94C6"/>
    <w:rsid w:val="00FF3644"/>
    <w:rsid w:val="00FF5C95"/>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82203D"/>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152455">
      <w:bodyDiv w:val="1"/>
      <w:marLeft w:val="0"/>
      <w:marRight w:val="0"/>
      <w:marTop w:val="0"/>
      <w:marBottom w:val="0"/>
      <w:divBdr>
        <w:top w:val="none" w:sz="0" w:space="0" w:color="auto"/>
        <w:left w:val="none" w:sz="0" w:space="0" w:color="auto"/>
        <w:bottom w:val="none" w:sz="0" w:space="0" w:color="auto"/>
        <w:right w:val="none" w:sz="0" w:space="0" w:color="auto"/>
      </w:divBdr>
    </w:div>
    <w:div w:id="96024649">
      <w:bodyDiv w:val="1"/>
      <w:marLeft w:val="0"/>
      <w:marRight w:val="0"/>
      <w:marTop w:val="0"/>
      <w:marBottom w:val="0"/>
      <w:divBdr>
        <w:top w:val="none" w:sz="0" w:space="0" w:color="auto"/>
        <w:left w:val="none" w:sz="0" w:space="0" w:color="auto"/>
        <w:bottom w:val="none" w:sz="0" w:space="0" w:color="auto"/>
        <w:right w:val="none" w:sz="0" w:space="0" w:color="auto"/>
      </w:divBdr>
    </w:div>
    <w:div w:id="150367391">
      <w:bodyDiv w:val="1"/>
      <w:marLeft w:val="0"/>
      <w:marRight w:val="0"/>
      <w:marTop w:val="0"/>
      <w:marBottom w:val="0"/>
      <w:divBdr>
        <w:top w:val="none" w:sz="0" w:space="0" w:color="auto"/>
        <w:left w:val="none" w:sz="0" w:space="0" w:color="auto"/>
        <w:bottom w:val="none" w:sz="0" w:space="0" w:color="auto"/>
        <w:right w:val="none" w:sz="0" w:space="0" w:color="auto"/>
      </w:divBdr>
    </w:div>
    <w:div w:id="43726199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5578516">
      <w:bodyDiv w:val="1"/>
      <w:marLeft w:val="0"/>
      <w:marRight w:val="0"/>
      <w:marTop w:val="0"/>
      <w:marBottom w:val="0"/>
      <w:divBdr>
        <w:top w:val="none" w:sz="0" w:space="0" w:color="auto"/>
        <w:left w:val="none" w:sz="0" w:space="0" w:color="auto"/>
        <w:bottom w:val="none" w:sz="0" w:space="0" w:color="auto"/>
        <w:right w:val="none" w:sz="0" w:space="0" w:color="auto"/>
      </w:divBdr>
    </w:div>
    <w:div w:id="1026367412">
      <w:bodyDiv w:val="1"/>
      <w:marLeft w:val="0"/>
      <w:marRight w:val="0"/>
      <w:marTop w:val="0"/>
      <w:marBottom w:val="0"/>
      <w:divBdr>
        <w:top w:val="none" w:sz="0" w:space="0" w:color="auto"/>
        <w:left w:val="none" w:sz="0" w:space="0" w:color="auto"/>
        <w:bottom w:val="none" w:sz="0" w:space="0" w:color="auto"/>
        <w:right w:val="none" w:sz="0" w:space="0" w:color="auto"/>
      </w:divBdr>
      <w:divsChild>
        <w:div w:id="795947323">
          <w:marLeft w:val="0"/>
          <w:marRight w:val="0"/>
          <w:marTop w:val="0"/>
          <w:marBottom w:val="0"/>
          <w:divBdr>
            <w:top w:val="single" w:sz="6" w:space="0" w:color="F4F4F4"/>
            <w:left w:val="single" w:sz="6" w:space="0" w:color="F4F4F4"/>
            <w:bottom w:val="single" w:sz="6" w:space="0" w:color="F4F4F4"/>
            <w:right w:val="single" w:sz="6" w:space="0" w:color="F4F4F4"/>
          </w:divBdr>
          <w:divsChild>
            <w:div w:id="115610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456405">
      <w:bodyDiv w:val="1"/>
      <w:marLeft w:val="0"/>
      <w:marRight w:val="0"/>
      <w:marTop w:val="0"/>
      <w:marBottom w:val="0"/>
      <w:divBdr>
        <w:top w:val="none" w:sz="0" w:space="0" w:color="auto"/>
        <w:left w:val="none" w:sz="0" w:space="0" w:color="auto"/>
        <w:bottom w:val="none" w:sz="0" w:space="0" w:color="auto"/>
        <w:right w:val="none" w:sz="0" w:space="0" w:color="auto"/>
      </w:divBdr>
    </w:div>
    <w:div w:id="1356421571">
      <w:bodyDiv w:val="1"/>
      <w:marLeft w:val="0"/>
      <w:marRight w:val="0"/>
      <w:marTop w:val="0"/>
      <w:marBottom w:val="0"/>
      <w:divBdr>
        <w:top w:val="none" w:sz="0" w:space="0" w:color="auto"/>
        <w:left w:val="none" w:sz="0" w:space="0" w:color="auto"/>
        <w:bottom w:val="none" w:sz="0" w:space="0" w:color="auto"/>
        <w:right w:val="none" w:sz="0" w:space="0" w:color="auto"/>
      </w:divBdr>
    </w:div>
    <w:div w:id="1358390612">
      <w:bodyDiv w:val="1"/>
      <w:marLeft w:val="0"/>
      <w:marRight w:val="0"/>
      <w:marTop w:val="0"/>
      <w:marBottom w:val="0"/>
      <w:divBdr>
        <w:top w:val="none" w:sz="0" w:space="0" w:color="auto"/>
        <w:left w:val="none" w:sz="0" w:space="0" w:color="auto"/>
        <w:bottom w:val="none" w:sz="0" w:space="0" w:color="auto"/>
        <w:right w:val="none" w:sz="0" w:space="0" w:color="auto"/>
      </w:divBdr>
    </w:div>
    <w:div w:id="1577323104">
      <w:bodyDiv w:val="1"/>
      <w:marLeft w:val="0"/>
      <w:marRight w:val="0"/>
      <w:marTop w:val="0"/>
      <w:marBottom w:val="0"/>
      <w:divBdr>
        <w:top w:val="none" w:sz="0" w:space="0" w:color="auto"/>
        <w:left w:val="none" w:sz="0" w:space="0" w:color="auto"/>
        <w:bottom w:val="none" w:sz="0" w:space="0" w:color="auto"/>
        <w:right w:val="none" w:sz="0" w:space="0" w:color="auto"/>
      </w:divBdr>
    </w:div>
    <w:div w:id="180893820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11889779">
      <w:bodyDiv w:val="1"/>
      <w:marLeft w:val="0"/>
      <w:marRight w:val="0"/>
      <w:marTop w:val="0"/>
      <w:marBottom w:val="0"/>
      <w:divBdr>
        <w:top w:val="none" w:sz="0" w:space="0" w:color="auto"/>
        <w:left w:val="none" w:sz="0" w:space="0" w:color="auto"/>
        <w:bottom w:val="none" w:sz="0" w:space="0" w:color="auto"/>
        <w:right w:val="none" w:sz="0" w:space="0" w:color="auto"/>
      </w:divBdr>
    </w:div>
    <w:div w:id="2043631556">
      <w:bodyDiv w:val="1"/>
      <w:marLeft w:val="0"/>
      <w:marRight w:val="0"/>
      <w:marTop w:val="0"/>
      <w:marBottom w:val="0"/>
      <w:divBdr>
        <w:top w:val="none" w:sz="0" w:space="0" w:color="auto"/>
        <w:left w:val="none" w:sz="0" w:space="0" w:color="auto"/>
        <w:bottom w:val="none" w:sz="0" w:space="0" w:color="auto"/>
        <w:right w:val="none" w:sz="0" w:space="0" w:color="auto"/>
      </w:divBdr>
    </w:div>
    <w:div w:id="205195000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580616">
      <w:bodyDiv w:val="1"/>
      <w:marLeft w:val="0"/>
      <w:marRight w:val="0"/>
      <w:marTop w:val="0"/>
      <w:marBottom w:val="0"/>
      <w:divBdr>
        <w:top w:val="none" w:sz="0" w:space="0" w:color="auto"/>
        <w:left w:val="none" w:sz="0" w:space="0" w:color="auto"/>
        <w:bottom w:val="none" w:sz="0" w:space="0" w:color="auto"/>
        <w:right w:val="none" w:sz="0" w:space="0" w:color="auto"/>
      </w:divBdr>
    </w:div>
    <w:div w:id="21357838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https://web.archive.org/web/20250703045216/https://phl.menlhk.go.id/media/publikasi/publikasi_file_1705303320.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hyperlink" Target="https://web.archive.org/web/20250703044701/https://peraturan.bpk.go.id/Download/375389/2025permenkp001.pdf" TargetMode="External"/><Relationship Id="rId2" Type="http://schemas.openxmlformats.org/officeDocument/2006/relationships/customXml" Target="../customXml/item2.xml"/><Relationship Id="rId16" Type="http://schemas.openxmlformats.org/officeDocument/2006/relationships/hyperlink" Target="https://web.archive.org/web/20250703044423/https://peraturan.bpk.go.id/Download/288901/Permen%20LHK%20Nomor%2021%20Tahun%202022.pdf" TargetMode="Externa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docs.google.com/document/d/1uXHsk-NOQj-p8fVEu_q7Q6E2i-E1qxWsR3VOFB2jDHw/edit?tab=t.0" TargetMode="External"/><Relationship Id="rId5" Type="http://schemas.openxmlformats.org/officeDocument/2006/relationships/styles" Target="styles.xml"/><Relationship Id="rId15" Type="http://schemas.openxmlformats.org/officeDocument/2006/relationships/footer" Target="footer3.xml"/><Relationship Id="rId23" Type="http://schemas.openxmlformats.org/officeDocument/2006/relationships/theme" Target="theme/theme1.xml"/><Relationship Id="rId10" Type="http://schemas.openxmlformats.org/officeDocument/2006/relationships/hyperlink" Target="mailto:netzerohub@bsg.ox.ac.uk" TargetMode="External"/><Relationship Id="rId19" Type="http://schemas.openxmlformats.org/officeDocument/2006/relationships/hyperlink" Target="https://www.bis.org/fsi/fsibriefs18.pdf"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407</TotalTime>
  <Pages>1</Pages>
  <Words>22588</Words>
  <Characters>134631</Characters>
  <Application>Microsoft Office Word</Application>
  <DocSecurity>0</DocSecurity>
  <Lines>8414</Lines>
  <Paragraphs>4764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Lawyer Nusantara Legal</cp:lastModifiedBy>
  <cp:revision>138</cp:revision>
  <cp:lastPrinted>2025-03-21T00:14:00Z</cp:lastPrinted>
  <dcterms:created xsi:type="dcterms:W3CDTF">2025-06-25T12:20:00Z</dcterms:created>
  <dcterms:modified xsi:type="dcterms:W3CDTF">2025-07-06T06:11:00Z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TaxCatchAll">
    <vt:lpwstr/>
  </property>
  <property fmtid="{D5CDD505-2E9C-101B-9397-08002B2CF9AE}" pid="5" name="lcf76f155ced4ddcb4097134ff3c332f">
    <vt:lpwstr/>
  </property>
  <property fmtid="{D5CDD505-2E9C-101B-9397-08002B2CF9AE}" pid="6" name="GrammarlyDocumentId">
    <vt:lpwstr>f1feafbe-a5f8-477c-ace4-69e154a4a010</vt:lpwstr>
  </property>
</Properties>
</file>